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B30559" w:rsidRPr="0099013D" w:rsidTr="0081394E">
        <w:trPr>
          <w:trHeight w:val="283"/>
        </w:trPr>
        <w:tc>
          <w:tcPr>
            <w:tcW w:w="2490" w:type="dxa"/>
            <w:vAlign w:val="center"/>
          </w:tcPr>
          <w:p w:rsidR="00B30559" w:rsidRPr="004F19B0" w:rsidRDefault="00B30559" w:rsidP="002A249A">
            <w:pPr>
              <w:spacing w:after="0"/>
              <w:rPr>
                <w:b/>
                <w:sz w:val="20"/>
                <w:szCs w:val="20"/>
              </w:rPr>
            </w:pPr>
            <w:r w:rsidRPr="004F19B0">
              <w:rPr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B30559" w:rsidRPr="0099090F" w:rsidRDefault="00227278" w:rsidP="002A24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KALİTE KOORDİNATÖRÜ</w:t>
            </w:r>
          </w:p>
        </w:tc>
      </w:tr>
      <w:tr w:rsidR="00B30559" w:rsidRPr="0099013D" w:rsidTr="0081394E">
        <w:trPr>
          <w:trHeight w:val="283"/>
        </w:trPr>
        <w:tc>
          <w:tcPr>
            <w:tcW w:w="2490" w:type="dxa"/>
            <w:vAlign w:val="center"/>
          </w:tcPr>
          <w:p w:rsidR="00B30559" w:rsidRPr="0099013D" w:rsidRDefault="00B30559" w:rsidP="002A249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B30559" w:rsidRPr="0099013D" w:rsidRDefault="00227278" w:rsidP="002A24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KOORDİNATÖR</w:t>
            </w:r>
          </w:p>
        </w:tc>
      </w:tr>
      <w:tr w:rsidR="00B30559" w:rsidRPr="0099013D" w:rsidTr="00AE41AF">
        <w:trPr>
          <w:trHeight w:val="70"/>
        </w:trPr>
        <w:tc>
          <w:tcPr>
            <w:tcW w:w="9640" w:type="dxa"/>
            <w:gridSpan w:val="2"/>
          </w:tcPr>
          <w:p w:rsidR="00B30559" w:rsidRPr="0099013D" w:rsidRDefault="00B30559" w:rsidP="002A249A">
            <w:pPr>
              <w:rPr>
                <w:rFonts w:cstheme="minorHAnsi"/>
                <w:sz w:val="20"/>
                <w:szCs w:val="20"/>
              </w:rPr>
            </w:pPr>
          </w:p>
          <w:p w:rsidR="00B30559" w:rsidRPr="0099013D" w:rsidRDefault="00B30559" w:rsidP="002A249A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993A4A" w:rsidRDefault="00445861" w:rsidP="00993A4A">
            <w:pPr>
              <w:jc w:val="both"/>
              <w:rPr>
                <w:rFonts w:cstheme="minorHAnsi"/>
                <w:sz w:val="20"/>
                <w:szCs w:val="20"/>
              </w:rPr>
            </w:pPr>
            <w:r w:rsidRPr="00445861">
              <w:rPr>
                <w:rFonts w:cstheme="minorHAnsi"/>
                <w:sz w:val="20"/>
                <w:szCs w:val="20"/>
              </w:rPr>
              <w:t>Üniversitenin akademik ve idari hizmetlerin kalitesinin değerlendirilmesi ve iyileşti</w:t>
            </w:r>
            <w:r w:rsidR="00993A4A">
              <w:rPr>
                <w:rFonts w:cstheme="minorHAnsi"/>
                <w:sz w:val="20"/>
                <w:szCs w:val="20"/>
              </w:rPr>
              <w:t xml:space="preserve">rilmesi konusunda Kalite </w:t>
            </w:r>
            <w:r w:rsidRPr="00445861">
              <w:rPr>
                <w:rFonts w:cstheme="minorHAnsi"/>
                <w:sz w:val="20"/>
                <w:szCs w:val="20"/>
              </w:rPr>
              <w:t>Komisyonunca belirlenen iş ve işlemlerin yürütülmesini koordine etmek, kurumsal akreditasyon çalışmalarının aktif biçimde yürüt</w:t>
            </w:r>
            <w:r w:rsidR="00993A4A">
              <w:rPr>
                <w:rFonts w:cstheme="minorHAnsi"/>
                <w:sz w:val="20"/>
                <w:szCs w:val="20"/>
              </w:rPr>
              <w:t xml:space="preserve">ülmesi sürecinde Kalite </w:t>
            </w:r>
            <w:r w:rsidRPr="00445861">
              <w:rPr>
                <w:rFonts w:cstheme="minorHAnsi"/>
                <w:sz w:val="20"/>
                <w:szCs w:val="20"/>
              </w:rPr>
              <w:t>Komisyonuna destek olmak, program akreditasyonu süreçlerinde ilgili programlara rehbe</w:t>
            </w:r>
            <w:r w:rsidR="00993A4A">
              <w:rPr>
                <w:rFonts w:cstheme="minorHAnsi"/>
                <w:sz w:val="20"/>
                <w:szCs w:val="20"/>
              </w:rPr>
              <w:t>rlik ve iletişim desteği sunmak.</w:t>
            </w:r>
          </w:p>
          <w:p w:rsidR="00B30559" w:rsidRDefault="00B30559" w:rsidP="00993A4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993A4A" w:rsidRPr="00993A4A" w:rsidRDefault="00993A4A" w:rsidP="00993A4A">
            <w:pPr>
              <w:pStyle w:val="ListeParagraf"/>
              <w:widowControl w:val="0"/>
              <w:numPr>
                <w:ilvl w:val="0"/>
                <w:numId w:val="13"/>
              </w:numPr>
              <w:tabs>
                <w:tab w:val="left" w:pos="878"/>
                <w:tab w:val="left" w:pos="879"/>
              </w:tabs>
              <w:autoSpaceDE w:val="0"/>
              <w:autoSpaceDN w:val="0"/>
              <w:spacing w:after="0" w:line="254" w:lineRule="auto"/>
              <w:ind w:right="271"/>
              <w:jc w:val="both"/>
              <w:rPr>
                <w:w w:val="95"/>
              </w:rPr>
            </w:pPr>
            <w:r w:rsidRPr="00993A4A">
              <w:rPr>
                <w:w w:val="95"/>
              </w:rPr>
              <w:t>Koordinatörlük faaliyetlerinin yürütülmesini sağlamak.</w:t>
            </w:r>
          </w:p>
          <w:p w:rsidR="00993A4A" w:rsidRPr="00C57C1E" w:rsidRDefault="00993A4A" w:rsidP="00C57C1E">
            <w:pPr>
              <w:widowControl w:val="0"/>
              <w:numPr>
                <w:ilvl w:val="0"/>
                <w:numId w:val="13"/>
              </w:numPr>
              <w:tabs>
                <w:tab w:val="left" w:pos="878"/>
                <w:tab w:val="left" w:pos="879"/>
              </w:tabs>
              <w:autoSpaceDE w:val="0"/>
              <w:autoSpaceDN w:val="0"/>
              <w:spacing w:after="0" w:line="254" w:lineRule="auto"/>
              <w:ind w:right="271"/>
              <w:jc w:val="both"/>
              <w:rPr>
                <w:w w:val="95"/>
              </w:rPr>
            </w:pPr>
            <w:r w:rsidRPr="00C57C1E">
              <w:rPr>
                <w:w w:val="95"/>
              </w:rPr>
              <w:t>Kurumsal Akreditasyon faaliyetlerinin yürütülmesini sağlamak.</w:t>
            </w:r>
          </w:p>
          <w:p w:rsidR="00993A4A" w:rsidRPr="00C57C1E" w:rsidRDefault="00993A4A" w:rsidP="00C57C1E">
            <w:pPr>
              <w:widowControl w:val="0"/>
              <w:numPr>
                <w:ilvl w:val="0"/>
                <w:numId w:val="13"/>
              </w:numPr>
              <w:tabs>
                <w:tab w:val="left" w:pos="878"/>
                <w:tab w:val="left" w:pos="879"/>
              </w:tabs>
              <w:autoSpaceDE w:val="0"/>
              <w:autoSpaceDN w:val="0"/>
              <w:spacing w:after="0" w:line="254" w:lineRule="auto"/>
              <w:ind w:right="271"/>
              <w:jc w:val="both"/>
              <w:rPr>
                <w:w w:val="95"/>
              </w:rPr>
            </w:pPr>
            <w:r w:rsidRPr="00C57C1E">
              <w:rPr>
                <w:w w:val="95"/>
              </w:rPr>
              <w:t>Kalite güvencesi çalışmaları kapsamındaki birim ziyaretlerini, eğitim çalışmalarını, toplantıları vb. faaliyetleri koordine etmek.</w:t>
            </w:r>
          </w:p>
          <w:p w:rsidR="00993A4A" w:rsidRPr="00C57C1E" w:rsidRDefault="00993A4A" w:rsidP="00C57C1E">
            <w:pPr>
              <w:widowControl w:val="0"/>
              <w:numPr>
                <w:ilvl w:val="0"/>
                <w:numId w:val="13"/>
              </w:numPr>
              <w:tabs>
                <w:tab w:val="left" w:pos="878"/>
                <w:tab w:val="left" w:pos="879"/>
              </w:tabs>
              <w:autoSpaceDE w:val="0"/>
              <w:autoSpaceDN w:val="0"/>
              <w:spacing w:after="0" w:line="254" w:lineRule="auto"/>
              <w:ind w:right="271"/>
              <w:jc w:val="both"/>
              <w:rPr>
                <w:w w:val="95"/>
              </w:rPr>
            </w:pPr>
            <w:r w:rsidRPr="00C57C1E">
              <w:rPr>
                <w:w w:val="95"/>
              </w:rPr>
              <w:t>KİDR, İyileştirme Raporu ve gerektiğinde iç tetkik raporu hazırlanması sürecinde Kalite Güvence Komisyonuna destek olmak.</w:t>
            </w:r>
          </w:p>
          <w:p w:rsidR="00993A4A" w:rsidRPr="00C57C1E" w:rsidRDefault="00993A4A" w:rsidP="00C57C1E">
            <w:pPr>
              <w:widowControl w:val="0"/>
              <w:numPr>
                <w:ilvl w:val="0"/>
                <w:numId w:val="13"/>
              </w:numPr>
              <w:tabs>
                <w:tab w:val="left" w:pos="878"/>
                <w:tab w:val="left" w:pos="879"/>
              </w:tabs>
              <w:autoSpaceDE w:val="0"/>
              <w:autoSpaceDN w:val="0"/>
              <w:spacing w:after="0" w:line="254" w:lineRule="auto"/>
              <w:ind w:right="271"/>
              <w:jc w:val="both"/>
              <w:rPr>
                <w:w w:val="95"/>
              </w:rPr>
            </w:pPr>
            <w:r w:rsidRPr="00C57C1E">
              <w:rPr>
                <w:w w:val="95"/>
              </w:rPr>
              <w:t>Kurumsal kalite süreçlerini iyileştirmeye yönelik tespitlerin Kalite Güvence Komisyonuna ve ilgili birimlere iletilmesini sağlamak.</w:t>
            </w:r>
          </w:p>
          <w:p w:rsidR="00993A4A" w:rsidRPr="00C57C1E" w:rsidRDefault="00993A4A" w:rsidP="00C57C1E">
            <w:pPr>
              <w:widowControl w:val="0"/>
              <w:numPr>
                <w:ilvl w:val="0"/>
                <w:numId w:val="13"/>
              </w:numPr>
              <w:tabs>
                <w:tab w:val="left" w:pos="878"/>
                <w:tab w:val="left" w:pos="879"/>
              </w:tabs>
              <w:autoSpaceDE w:val="0"/>
              <w:autoSpaceDN w:val="0"/>
              <w:spacing w:after="0" w:line="254" w:lineRule="auto"/>
              <w:ind w:right="271"/>
              <w:jc w:val="both"/>
              <w:rPr>
                <w:w w:val="95"/>
              </w:rPr>
            </w:pPr>
            <w:r w:rsidRPr="00C57C1E">
              <w:rPr>
                <w:w w:val="95"/>
              </w:rPr>
              <w:t>Kurumsal veri izleme ve raporlama süreçlerini yürütmek ve raporları üst yönetime sunmak.</w:t>
            </w:r>
          </w:p>
          <w:p w:rsidR="00993A4A" w:rsidRPr="00C57C1E" w:rsidRDefault="00993A4A" w:rsidP="00C57C1E">
            <w:pPr>
              <w:widowControl w:val="0"/>
              <w:numPr>
                <w:ilvl w:val="0"/>
                <w:numId w:val="13"/>
              </w:numPr>
              <w:tabs>
                <w:tab w:val="left" w:pos="878"/>
                <w:tab w:val="left" w:pos="879"/>
              </w:tabs>
              <w:autoSpaceDE w:val="0"/>
              <w:autoSpaceDN w:val="0"/>
              <w:spacing w:after="0" w:line="254" w:lineRule="auto"/>
              <w:ind w:right="271"/>
              <w:jc w:val="both"/>
              <w:rPr>
                <w:w w:val="95"/>
              </w:rPr>
            </w:pPr>
            <w:r w:rsidRPr="00C57C1E">
              <w:rPr>
                <w:w w:val="95"/>
              </w:rPr>
              <w:t>Üniversite kalite güvence politikaları ve dokümanlarının oluşturulması sürecine katkı sunmak.</w:t>
            </w:r>
          </w:p>
          <w:p w:rsidR="00993A4A" w:rsidRPr="00C57C1E" w:rsidRDefault="00993A4A" w:rsidP="00C57C1E">
            <w:pPr>
              <w:widowControl w:val="0"/>
              <w:numPr>
                <w:ilvl w:val="0"/>
                <w:numId w:val="13"/>
              </w:numPr>
              <w:tabs>
                <w:tab w:val="left" w:pos="878"/>
                <w:tab w:val="left" w:pos="879"/>
              </w:tabs>
              <w:autoSpaceDE w:val="0"/>
              <w:autoSpaceDN w:val="0"/>
              <w:spacing w:after="0" w:line="254" w:lineRule="auto"/>
              <w:ind w:right="271"/>
              <w:jc w:val="both"/>
              <w:rPr>
                <w:w w:val="95"/>
              </w:rPr>
            </w:pPr>
            <w:r w:rsidRPr="00C57C1E">
              <w:rPr>
                <w:w w:val="95"/>
              </w:rPr>
              <w:t>Üniversite PUKÖ</w:t>
            </w:r>
            <w:r w:rsidR="00C57C1E">
              <w:rPr>
                <w:w w:val="95"/>
              </w:rPr>
              <w:t xml:space="preserve"> döngülerinin hazırlanmasını, </w:t>
            </w:r>
            <w:r w:rsidRPr="00C57C1E">
              <w:rPr>
                <w:w w:val="95"/>
              </w:rPr>
              <w:t xml:space="preserve">güncellenmesini </w:t>
            </w:r>
            <w:r w:rsidR="00C57C1E">
              <w:rPr>
                <w:w w:val="95"/>
              </w:rPr>
              <w:t xml:space="preserve">ve kapatılmasını </w:t>
            </w:r>
            <w:r w:rsidRPr="00C57C1E">
              <w:rPr>
                <w:w w:val="95"/>
              </w:rPr>
              <w:t>sağlamak.</w:t>
            </w:r>
          </w:p>
          <w:p w:rsidR="00B30559" w:rsidRPr="000D7737" w:rsidRDefault="00993A4A" w:rsidP="000D7737">
            <w:pPr>
              <w:widowControl w:val="0"/>
              <w:numPr>
                <w:ilvl w:val="0"/>
                <w:numId w:val="13"/>
              </w:numPr>
              <w:tabs>
                <w:tab w:val="left" w:pos="878"/>
                <w:tab w:val="left" w:pos="879"/>
              </w:tabs>
              <w:autoSpaceDE w:val="0"/>
              <w:autoSpaceDN w:val="0"/>
              <w:spacing w:after="0" w:line="254" w:lineRule="auto"/>
              <w:ind w:right="271"/>
              <w:jc w:val="both"/>
              <w:rPr>
                <w:w w:val="95"/>
              </w:rPr>
            </w:pPr>
            <w:r w:rsidRPr="000D7737">
              <w:rPr>
                <w:w w:val="95"/>
              </w:rPr>
              <w:t>Koordinatörlükte görev yapmak üzere gerekli nitelik ve sayıda teknik uzman, akademik veya idari personelin temin edilmesini talep etmek</w:t>
            </w:r>
          </w:p>
          <w:p w:rsidR="00B30559" w:rsidRDefault="00B30559" w:rsidP="002A249A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B30559" w:rsidRPr="0099013D" w:rsidRDefault="00B30559" w:rsidP="002A249A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B30559" w:rsidRDefault="00B30559" w:rsidP="00B30559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445861" w:rsidRPr="0099013D" w:rsidRDefault="00445861" w:rsidP="00445861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45861">
              <w:rPr>
                <w:rFonts w:cstheme="minorHAnsi"/>
                <w:sz w:val="20"/>
                <w:szCs w:val="20"/>
              </w:rPr>
              <w:t>Rektör tarafından Kalit</w:t>
            </w:r>
            <w:r>
              <w:rPr>
                <w:rFonts w:cstheme="minorHAnsi"/>
                <w:sz w:val="20"/>
                <w:szCs w:val="20"/>
              </w:rPr>
              <w:t xml:space="preserve">e </w:t>
            </w:r>
            <w:r w:rsidRPr="00445861">
              <w:rPr>
                <w:rFonts w:cstheme="minorHAnsi"/>
                <w:sz w:val="20"/>
                <w:szCs w:val="20"/>
              </w:rPr>
              <w:t>Koordinatörü olarak görevlendirilmiş olmak</w:t>
            </w:r>
          </w:p>
          <w:p w:rsidR="00B30559" w:rsidRPr="000D7737" w:rsidRDefault="00B30559" w:rsidP="00B30559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0D7737">
              <w:rPr>
                <w:color w:val="1A1A1A"/>
                <w:sz w:val="20"/>
                <w:szCs w:val="20"/>
              </w:rPr>
              <w:t>.</w:t>
            </w:r>
          </w:p>
          <w:p w:rsidR="000D7737" w:rsidRPr="0099013D" w:rsidRDefault="000D7737" w:rsidP="000D7737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D7737" w:rsidRPr="000D7737" w:rsidRDefault="000D7737" w:rsidP="000D7737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 xml:space="preserve">DAYANAKLAR </w:t>
            </w:r>
            <w:r w:rsidRPr="000D7737">
              <w:rPr>
                <w:rFonts w:cstheme="minorHAnsi"/>
                <w:b/>
                <w:sz w:val="20"/>
                <w:szCs w:val="20"/>
              </w:rPr>
              <w:t>:</w:t>
            </w:r>
            <w:proofErr w:type="gramEnd"/>
          </w:p>
          <w:p w:rsidR="000D7737" w:rsidRPr="000D7737" w:rsidRDefault="000D7737" w:rsidP="000D7737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D7737" w:rsidRPr="000D7737" w:rsidRDefault="000D7737" w:rsidP="00073C90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D7737">
              <w:rPr>
                <w:rFonts w:cstheme="minorHAnsi"/>
                <w:b/>
                <w:sz w:val="20"/>
                <w:szCs w:val="20"/>
              </w:rPr>
              <w:t>1. 2547 Sayılı Yükseköğretim Kanunu</w:t>
            </w:r>
          </w:p>
          <w:p w:rsidR="000D7737" w:rsidRPr="000D7737" w:rsidRDefault="000D7737" w:rsidP="000D7737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D7737" w:rsidRPr="000D7737" w:rsidRDefault="000D7737" w:rsidP="00073C90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D7737">
              <w:rPr>
                <w:rFonts w:cstheme="minorHAnsi"/>
                <w:b/>
                <w:sz w:val="20"/>
                <w:szCs w:val="20"/>
              </w:rPr>
              <w:t>2. 29423 Sayılı Yükseköğretim Kalite Güvencesi Yönetmeliği</w:t>
            </w:r>
          </w:p>
          <w:p w:rsidR="000D7737" w:rsidRPr="000D7737" w:rsidRDefault="000D7737" w:rsidP="000D7737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D7737" w:rsidRPr="000D7737" w:rsidRDefault="000D7737" w:rsidP="00073C90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D7737">
              <w:rPr>
                <w:rFonts w:cstheme="minorHAnsi"/>
                <w:b/>
                <w:sz w:val="20"/>
                <w:szCs w:val="20"/>
              </w:rPr>
              <w:t>3. 30604 Sayılı Yükseköğretim Kalite Güvencesi ve Yükseköğretim Kalite Kurulu Yönetmeliği</w:t>
            </w:r>
          </w:p>
          <w:p w:rsidR="000D7737" w:rsidRPr="000D7737" w:rsidRDefault="000D7737" w:rsidP="000D7737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B30559" w:rsidRPr="00AE41AF" w:rsidRDefault="00073C90" w:rsidP="00AE41A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 FÜ</w:t>
            </w:r>
            <w:r w:rsidR="000D7737" w:rsidRPr="000D7737">
              <w:rPr>
                <w:rFonts w:cstheme="minorHAnsi"/>
                <w:b/>
                <w:sz w:val="20"/>
                <w:szCs w:val="20"/>
              </w:rPr>
              <w:t xml:space="preserve"> Kalite Güvence</w:t>
            </w:r>
            <w:r w:rsidR="00AE41AF">
              <w:rPr>
                <w:rFonts w:cstheme="minorHAnsi"/>
                <w:b/>
                <w:sz w:val="20"/>
                <w:szCs w:val="20"/>
              </w:rPr>
              <w:t>si</w:t>
            </w:r>
            <w:r w:rsidR="001A1CB5">
              <w:rPr>
                <w:rFonts w:cstheme="minorHAnsi"/>
                <w:b/>
                <w:sz w:val="20"/>
                <w:szCs w:val="20"/>
              </w:rPr>
              <w:t xml:space="preserve"> Sistemi</w:t>
            </w:r>
            <w:r w:rsidR="000D7737" w:rsidRPr="000D7737">
              <w:rPr>
                <w:rFonts w:cstheme="minorHAnsi"/>
                <w:b/>
                <w:sz w:val="20"/>
                <w:szCs w:val="20"/>
              </w:rPr>
              <w:t xml:space="preserve"> Yönerges</w:t>
            </w:r>
            <w:r w:rsidR="001A1CB5">
              <w:rPr>
                <w:rFonts w:cstheme="minorHAnsi"/>
                <w:b/>
                <w:sz w:val="20"/>
                <w:szCs w:val="20"/>
              </w:rPr>
              <w:t>i</w:t>
            </w:r>
            <w:bookmarkStart w:id="0" w:name="_GoBack"/>
            <w:bookmarkEnd w:id="0"/>
          </w:p>
          <w:p w:rsidR="00B30559" w:rsidRDefault="00B30559" w:rsidP="002A249A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B30559" w:rsidRDefault="00B30559" w:rsidP="002A249A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B30559" w:rsidRDefault="00B30559" w:rsidP="002A249A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B30559" w:rsidRDefault="00B30559" w:rsidP="002A249A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B30559" w:rsidRDefault="00B30559" w:rsidP="002A249A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B30559" w:rsidRDefault="00B30559" w:rsidP="002A249A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B30559" w:rsidRDefault="00B30559" w:rsidP="002A249A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B30559" w:rsidRDefault="00B30559" w:rsidP="002A249A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B30559" w:rsidRPr="0099013D" w:rsidRDefault="00B30559" w:rsidP="002A249A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3753DF"/>
    <w:sectPr w:rsidR="007772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DF" w:rsidRDefault="003753DF" w:rsidP="00FA6D35">
      <w:pPr>
        <w:spacing w:after="0" w:line="240" w:lineRule="auto"/>
      </w:pPr>
      <w:r>
        <w:separator/>
      </w:r>
    </w:p>
  </w:endnote>
  <w:endnote w:type="continuationSeparator" w:id="0">
    <w:p w:rsidR="003753DF" w:rsidRDefault="003753DF" w:rsidP="00FA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3020"/>
      <w:gridCol w:w="3021"/>
      <w:gridCol w:w="3593"/>
    </w:tblGrid>
    <w:tr w:rsidR="00073C90" w:rsidRPr="00073C90" w:rsidTr="00073C90">
      <w:tc>
        <w:tcPr>
          <w:tcW w:w="3020" w:type="dxa"/>
        </w:tcPr>
        <w:p w:rsidR="00073C90" w:rsidRPr="00073C90" w:rsidRDefault="00073C90" w:rsidP="00073C90">
          <w:pPr>
            <w:pStyle w:val="AltBilgi"/>
          </w:pPr>
          <w:r w:rsidRPr="00073C90">
            <w:t>HAZIRLAYAN</w:t>
          </w:r>
        </w:p>
      </w:tc>
      <w:tc>
        <w:tcPr>
          <w:tcW w:w="3021" w:type="dxa"/>
        </w:tcPr>
        <w:p w:rsidR="00073C90" w:rsidRPr="00073C90" w:rsidRDefault="00073C90" w:rsidP="00073C90">
          <w:pPr>
            <w:pStyle w:val="AltBilgi"/>
          </w:pPr>
          <w:r w:rsidRPr="00073C90">
            <w:t>KONTROL EDEN</w:t>
          </w:r>
        </w:p>
      </w:tc>
      <w:tc>
        <w:tcPr>
          <w:tcW w:w="3593" w:type="dxa"/>
        </w:tcPr>
        <w:p w:rsidR="00073C90" w:rsidRPr="00073C90" w:rsidRDefault="00073C90" w:rsidP="00073C90">
          <w:pPr>
            <w:pStyle w:val="AltBilgi"/>
          </w:pPr>
          <w:r w:rsidRPr="00073C90">
            <w:t>ONAYLAYAN</w:t>
          </w:r>
        </w:p>
      </w:tc>
    </w:tr>
    <w:tr w:rsidR="00073C90" w:rsidRPr="00073C90" w:rsidTr="00073C90">
      <w:tc>
        <w:tcPr>
          <w:tcW w:w="3020" w:type="dxa"/>
        </w:tcPr>
        <w:p w:rsidR="00073C90" w:rsidRPr="00073C90" w:rsidRDefault="00073C90" w:rsidP="00073C90">
          <w:pPr>
            <w:pStyle w:val="AltBilgi"/>
          </w:pPr>
          <w:r w:rsidRPr="00073C90">
            <w:t>Koordinatör</w:t>
          </w:r>
        </w:p>
      </w:tc>
      <w:tc>
        <w:tcPr>
          <w:tcW w:w="3021" w:type="dxa"/>
        </w:tcPr>
        <w:p w:rsidR="00073C90" w:rsidRPr="00073C90" w:rsidRDefault="00073C90" w:rsidP="00073C90">
          <w:pPr>
            <w:pStyle w:val="AltBilgi"/>
          </w:pPr>
          <w:r w:rsidRPr="00073C90">
            <w:t>Rektör Yardımcısı</w:t>
          </w:r>
        </w:p>
      </w:tc>
      <w:tc>
        <w:tcPr>
          <w:tcW w:w="3593" w:type="dxa"/>
        </w:tcPr>
        <w:p w:rsidR="00073C90" w:rsidRPr="00073C90" w:rsidRDefault="00073C90" w:rsidP="00073C90">
          <w:pPr>
            <w:pStyle w:val="AltBilgi"/>
          </w:pPr>
          <w:r w:rsidRPr="00073C90">
            <w:t>Rektör</w:t>
          </w:r>
        </w:p>
        <w:p w:rsidR="00073C90" w:rsidRPr="00073C90" w:rsidRDefault="00073C90" w:rsidP="00073C90">
          <w:pPr>
            <w:pStyle w:val="AltBilgi"/>
          </w:pPr>
        </w:p>
      </w:tc>
    </w:tr>
  </w:tbl>
  <w:p w:rsidR="00073C90" w:rsidRDefault="00073C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DF" w:rsidRDefault="003753DF" w:rsidP="00FA6D35">
      <w:pPr>
        <w:spacing w:after="0" w:line="240" w:lineRule="auto"/>
      </w:pPr>
      <w:r>
        <w:separator/>
      </w:r>
    </w:p>
  </w:footnote>
  <w:footnote w:type="continuationSeparator" w:id="0">
    <w:p w:rsidR="003753DF" w:rsidRDefault="003753DF" w:rsidP="00FA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10"/>
      <w:tblW w:w="9606" w:type="dxa"/>
      <w:tblLook w:val="04A0" w:firstRow="1" w:lastRow="0" w:firstColumn="1" w:lastColumn="0" w:noHBand="0" w:noVBand="1"/>
    </w:tblPr>
    <w:tblGrid>
      <w:gridCol w:w="2556"/>
      <w:gridCol w:w="3439"/>
      <w:gridCol w:w="1803"/>
      <w:gridCol w:w="1808"/>
    </w:tblGrid>
    <w:tr w:rsidR="00FA6D35" w:rsidRPr="0099013D" w:rsidTr="005742EC">
      <w:trPr>
        <w:trHeight w:val="282"/>
      </w:trPr>
      <w:tc>
        <w:tcPr>
          <w:tcW w:w="2401" w:type="dxa"/>
          <w:vMerge w:val="restart"/>
          <w:vAlign w:val="center"/>
        </w:tcPr>
        <w:p w:rsidR="00FA6D35" w:rsidRPr="0099013D" w:rsidRDefault="00D62180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3B13847F" wp14:editId="76CEE21C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FA6D35" w:rsidRPr="0099013D" w:rsidRDefault="00227278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KALİTE KOORDİNATÖRÜ</w:t>
          </w: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843" w:type="dxa"/>
          <w:vAlign w:val="center"/>
        </w:tcPr>
        <w:p w:rsidR="00FA6D35" w:rsidRPr="0099013D" w:rsidRDefault="00FE331F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FE331F">
            <w:rPr>
              <w:rFonts w:cstheme="minorHAnsi"/>
              <w:b/>
              <w:sz w:val="20"/>
              <w:szCs w:val="20"/>
            </w:rPr>
            <w:t>KYS-GRV-117</w:t>
          </w:r>
        </w:p>
      </w:tc>
    </w:tr>
    <w:tr w:rsidR="00FA6D35" w:rsidRPr="0099013D" w:rsidTr="005742EC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843" w:type="dxa"/>
          <w:vAlign w:val="center"/>
        </w:tcPr>
        <w:p w:rsidR="00FA6D35" w:rsidRPr="0099013D" w:rsidRDefault="00D62180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FA6D35" w:rsidRPr="0099013D" w:rsidTr="005742EC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5742EC">
      <w:trPr>
        <w:trHeight w:val="283"/>
      </w:trPr>
      <w:tc>
        <w:tcPr>
          <w:tcW w:w="2401" w:type="dxa"/>
          <w:vAlign w:val="center"/>
        </w:tcPr>
        <w:p w:rsidR="00FA6D35" w:rsidRPr="0099013D" w:rsidRDefault="00D62180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FA6D35" w:rsidRPr="0099013D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5742EC">
      <w:trPr>
        <w:trHeight w:val="283"/>
      </w:trPr>
      <w:tc>
        <w:tcPr>
          <w:tcW w:w="2401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843" w:type="dxa"/>
          <w:vAlign w:val="center"/>
        </w:tcPr>
        <w:p w:rsidR="00FA6D35" w:rsidRPr="0099013D" w:rsidRDefault="005742EC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5742EC">
            <w:rPr>
              <w:rFonts w:cstheme="minorHAnsi"/>
              <w:b/>
              <w:sz w:val="18"/>
              <w:szCs w:val="18"/>
            </w:rPr>
            <w:fldChar w:fldCharType="begin"/>
          </w:r>
          <w:r w:rsidRPr="005742EC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5742EC">
            <w:rPr>
              <w:rFonts w:cstheme="minorHAnsi"/>
              <w:b/>
              <w:sz w:val="18"/>
              <w:szCs w:val="18"/>
            </w:rPr>
            <w:fldChar w:fldCharType="separate"/>
          </w:r>
          <w:r w:rsidR="001A1CB5">
            <w:rPr>
              <w:rFonts w:cstheme="minorHAnsi"/>
              <w:b/>
              <w:noProof/>
              <w:sz w:val="18"/>
              <w:szCs w:val="18"/>
            </w:rPr>
            <w:t>2</w:t>
          </w:r>
          <w:r w:rsidRPr="005742EC">
            <w:rPr>
              <w:rFonts w:cstheme="minorHAnsi"/>
              <w:b/>
              <w:sz w:val="18"/>
              <w:szCs w:val="18"/>
            </w:rPr>
            <w:fldChar w:fldCharType="end"/>
          </w:r>
          <w:r w:rsidRPr="005742EC">
            <w:rPr>
              <w:rFonts w:cstheme="minorHAnsi"/>
              <w:b/>
              <w:sz w:val="18"/>
              <w:szCs w:val="18"/>
            </w:rPr>
            <w:t xml:space="preserve"> / </w:t>
          </w:r>
          <w:r w:rsidRPr="005742EC">
            <w:rPr>
              <w:rFonts w:cstheme="minorHAnsi"/>
              <w:b/>
              <w:sz w:val="18"/>
              <w:szCs w:val="18"/>
            </w:rPr>
            <w:fldChar w:fldCharType="begin"/>
          </w:r>
          <w:r w:rsidRPr="005742EC">
            <w:rPr>
              <w:rFonts w:cstheme="minorHAnsi"/>
              <w:b/>
              <w:sz w:val="18"/>
              <w:szCs w:val="18"/>
            </w:rPr>
            <w:instrText>NUMPAGES  \* Arabic  \* MERGEFORMAT</w:instrText>
          </w:r>
          <w:r w:rsidRPr="005742EC">
            <w:rPr>
              <w:rFonts w:cstheme="minorHAnsi"/>
              <w:b/>
              <w:sz w:val="18"/>
              <w:szCs w:val="18"/>
            </w:rPr>
            <w:fldChar w:fldCharType="separate"/>
          </w:r>
          <w:r w:rsidR="001A1CB5">
            <w:rPr>
              <w:rFonts w:cstheme="minorHAnsi"/>
              <w:b/>
              <w:noProof/>
              <w:sz w:val="18"/>
              <w:szCs w:val="18"/>
            </w:rPr>
            <w:t>2</w:t>
          </w:r>
          <w:r w:rsidRPr="005742EC">
            <w:rPr>
              <w:rFonts w:cstheme="minorHAnsi"/>
              <w:b/>
              <w:sz w:val="18"/>
              <w:szCs w:val="18"/>
            </w:rPr>
            <w:fldChar w:fldCharType="end"/>
          </w:r>
        </w:p>
      </w:tc>
    </w:tr>
  </w:tbl>
  <w:p w:rsidR="00FA6D35" w:rsidRDefault="00FA6D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F0545"/>
    <w:multiLevelType w:val="hybridMultilevel"/>
    <w:tmpl w:val="B74A1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B26E3"/>
    <w:multiLevelType w:val="hybridMultilevel"/>
    <w:tmpl w:val="252EB1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80A0A"/>
    <w:multiLevelType w:val="multilevel"/>
    <w:tmpl w:val="BEA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2494C"/>
    <w:multiLevelType w:val="hybridMultilevel"/>
    <w:tmpl w:val="EE5CC7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80350"/>
    <w:multiLevelType w:val="hybridMultilevel"/>
    <w:tmpl w:val="7CDC8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80B5D"/>
    <w:multiLevelType w:val="hybridMultilevel"/>
    <w:tmpl w:val="29F88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307F2"/>
    <w:multiLevelType w:val="multilevel"/>
    <w:tmpl w:val="1C24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30"/>
    <w:rsid w:val="00062F6D"/>
    <w:rsid w:val="00073C90"/>
    <w:rsid w:val="000B4EC8"/>
    <w:rsid w:val="000D7737"/>
    <w:rsid w:val="00123668"/>
    <w:rsid w:val="00136585"/>
    <w:rsid w:val="00157B87"/>
    <w:rsid w:val="001859B7"/>
    <w:rsid w:val="001A1CB5"/>
    <w:rsid w:val="001D410A"/>
    <w:rsid w:val="00227278"/>
    <w:rsid w:val="002414B3"/>
    <w:rsid w:val="00252099"/>
    <w:rsid w:val="002535F3"/>
    <w:rsid w:val="002B2F68"/>
    <w:rsid w:val="00332AE9"/>
    <w:rsid w:val="003753DF"/>
    <w:rsid w:val="003A10BA"/>
    <w:rsid w:val="003C0CA7"/>
    <w:rsid w:val="003F5251"/>
    <w:rsid w:val="00445861"/>
    <w:rsid w:val="00453F2F"/>
    <w:rsid w:val="00460F39"/>
    <w:rsid w:val="004F727E"/>
    <w:rsid w:val="005742EC"/>
    <w:rsid w:val="00581270"/>
    <w:rsid w:val="007150B9"/>
    <w:rsid w:val="0074737B"/>
    <w:rsid w:val="00756AE7"/>
    <w:rsid w:val="007B07C3"/>
    <w:rsid w:val="0081394E"/>
    <w:rsid w:val="00830A00"/>
    <w:rsid w:val="00866996"/>
    <w:rsid w:val="008819FB"/>
    <w:rsid w:val="00883839"/>
    <w:rsid w:val="008C04ED"/>
    <w:rsid w:val="00993A4A"/>
    <w:rsid w:val="009B1030"/>
    <w:rsid w:val="009D3BE2"/>
    <w:rsid w:val="00A85D39"/>
    <w:rsid w:val="00AA3D5B"/>
    <w:rsid w:val="00AE41AF"/>
    <w:rsid w:val="00AF17BB"/>
    <w:rsid w:val="00AF493E"/>
    <w:rsid w:val="00B30559"/>
    <w:rsid w:val="00B85FD8"/>
    <w:rsid w:val="00BA5D16"/>
    <w:rsid w:val="00C57C1E"/>
    <w:rsid w:val="00CF1D27"/>
    <w:rsid w:val="00D0058D"/>
    <w:rsid w:val="00D62180"/>
    <w:rsid w:val="00D810AD"/>
    <w:rsid w:val="00E103C5"/>
    <w:rsid w:val="00E527EB"/>
    <w:rsid w:val="00EC60A4"/>
    <w:rsid w:val="00F338E4"/>
    <w:rsid w:val="00F42A99"/>
    <w:rsid w:val="00FA6D35"/>
    <w:rsid w:val="00FC2261"/>
    <w:rsid w:val="00FE331F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1DC5E"/>
  <w15:docId w15:val="{1775FD32-3CDE-4AF6-8DFE-688D4E1B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customStyle="1" w:styleId="Default">
    <w:name w:val="Default"/>
    <w:rsid w:val="00D0058D"/>
    <w:pPr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6D35"/>
  </w:style>
  <w:style w:type="paragraph" w:styleId="AltBilgi">
    <w:name w:val="footer"/>
    <w:basedOn w:val="Normal"/>
    <w:link w:val="Al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6D35"/>
  </w:style>
  <w:style w:type="paragraph" w:styleId="BalonMetni">
    <w:name w:val="Balloon Text"/>
    <w:basedOn w:val="Normal"/>
    <w:link w:val="BalonMetniChar"/>
    <w:uiPriority w:val="99"/>
    <w:semiHidden/>
    <w:unhideWhenUsed/>
    <w:rsid w:val="00B8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Nisa Nur KOÇOĞLU</cp:lastModifiedBy>
  <cp:revision>4</cp:revision>
  <dcterms:created xsi:type="dcterms:W3CDTF">2022-03-12T10:22:00Z</dcterms:created>
  <dcterms:modified xsi:type="dcterms:W3CDTF">2024-12-18T13:33:00Z</dcterms:modified>
</cp:coreProperties>
</file>