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7216"/>
      </w:tblGrid>
      <w:tr w:rsidR="00251C3D" w:rsidRPr="006C703F" w:rsidTr="00527BE6">
        <w:trPr>
          <w:trHeight w:val="283"/>
        </w:trPr>
        <w:tc>
          <w:tcPr>
            <w:tcW w:w="2400" w:type="dxa"/>
          </w:tcPr>
          <w:p w:rsidR="00251C3D" w:rsidRPr="006C703F" w:rsidRDefault="00251C3D" w:rsidP="00527BE6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C703F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216" w:type="dxa"/>
          </w:tcPr>
          <w:p w:rsidR="00251C3D" w:rsidRPr="006C703F" w:rsidRDefault="00251C3D" w:rsidP="00527BE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C703F">
              <w:rPr>
                <w:rFonts w:cstheme="minorHAnsi"/>
                <w:sz w:val="20"/>
                <w:szCs w:val="20"/>
              </w:rPr>
              <w:t>Strateji Geliştirme Daire Başkanı</w:t>
            </w:r>
          </w:p>
        </w:tc>
      </w:tr>
      <w:tr w:rsidR="00251C3D" w:rsidRPr="006C703F" w:rsidTr="00527BE6">
        <w:trPr>
          <w:trHeight w:val="283"/>
        </w:trPr>
        <w:tc>
          <w:tcPr>
            <w:tcW w:w="2400" w:type="dxa"/>
          </w:tcPr>
          <w:p w:rsidR="00251C3D" w:rsidRPr="006C703F" w:rsidRDefault="00251C3D" w:rsidP="00527BE6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C703F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216" w:type="dxa"/>
          </w:tcPr>
          <w:p w:rsidR="00251C3D" w:rsidRPr="006C703F" w:rsidRDefault="00251C3D" w:rsidP="00527BE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C703F">
              <w:rPr>
                <w:rFonts w:cstheme="minorHAnsi"/>
                <w:sz w:val="20"/>
                <w:szCs w:val="20"/>
              </w:rPr>
              <w:t>Genel Sekreter</w:t>
            </w:r>
          </w:p>
        </w:tc>
      </w:tr>
      <w:tr w:rsidR="00251C3D" w:rsidRPr="006C703F" w:rsidTr="00A0474B">
        <w:trPr>
          <w:trHeight w:val="141"/>
        </w:trPr>
        <w:tc>
          <w:tcPr>
            <w:tcW w:w="9616" w:type="dxa"/>
            <w:gridSpan w:val="2"/>
          </w:tcPr>
          <w:p w:rsidR="00251C3D" w:rsidRPr="006C703F" w:rsidRDefault="00251C3D" w:rsidP="00A0474B">
            <w:pPr>
              <w:rPr>
                <w:rFonts w:cstheme="minorHAnsi"/>
                <w:sz w:val="20"/>
                <w:szCs w:val="20"/>
              </w:rPr>
            </w:pPr>
          </w:p>
          <w:p w:rsidR="00251C3D" w:rsidRPr="006C703F" w:rsidRDefault="00251C3D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6C703F">
              <w:rPr>
                <w:rFonts w:cstheme="minorHAnsi"/>
                <w:b/>
                <w:sz w:val="20"/>
                <w:szCs w:val="20"/>
              </w:rPr>
              <w:t>GÖREV TANIMI</w:t>
            </w:r>
          </w:p>
          <w:p w:rsidR="00251C3D" w:rsidRPr="006C703F" w:rsidRDefault="00B762F9" w:rsidP="00A0474B">
            <w:pPr>
              <w:jc w:val="both"/>
              <w:rPr>
                <w:rFonts w:cstheme="minorHAnsi"/>
                <w:sz w:val="20"/>
                <w:szCs w:val="20"/>
              </w:rPr>
            </w:pPr>
            <w:r w:rsidRPr="006C703F">
              <w:rPr>
                <w:rFonts w:cstheme="minorHAnsi"/>
                <w:sz w:val="20"/>
                <w:szCs w:val="20"/>
              </w:rPr>
              <w:t xml:space="preserve">Unvanının gerektirdiği yetkiler çerçevesinde sorumlu olduğu iş ve işlemleri kanun ve diğer mevzuat düzenlemelerine uygun olarak yerine getirmek </w:t>
            </w:r>
            <w:r w:rsidR="00251C3D" w:rsidRPr="006C703F">
              <w:rPr>
                <w:rFonts w:cstheme="minorHAnsi"/>
                <w:sz w:val="20"/>
                <w:szCs w:val="20"/>
              </w:rPr>
              <w:t>Stratejik yönetim ve planlama, performans ve kalite ölçütlerini gelişt</w:t>
            </w:r>
            <w:r w:rsidRPr="006C703F">
              <w:rPr>
                <w:rFonts w:cstheme="minorHAnsi"/>
                <w:sz w:val="20"/>
                <w:szCs w:val="20"/>
              </w:rPr>
              <w:t xml:space="preserve">irme, yönetim bilgi sistemi ve </w:t>
            </w:r>
            <w:r w:rsidR="00251C3D" w:rsidRPr="006C703F">
              <w:rPr>
                <w:rFonts w:cstheme="minorHAnsi"/>
                <w:sz w:val="20"/>
                <w:szCs w:val="20"/>
              </w:rPr>
              <w:t>mali hizmet fonksiyonlarının alt birimler tarafından yürütülmesini sağlamak, daire başkanlığını yönetmek ve temsil etmek</w:t>
            </w:r>
          </w:p>
          <w:p w:rsidR="00251C3D" w:rsidRPr="006C703F" w:rsidRDefault="00251C3D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6C703F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251C3D" w:rsidRPr="006C703F" w:rsidRDefault="00251C3D" w:rsidP="00251C3D">
            <w:pPr>
              <w:numPr>
                <w:ilvl w:val="0"/>
                <w:numId w:val="4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6C703F">
              <w:rPr>
                <w:rFonts w:cstheme="minorHAnsi"/>
                <w:sz w:val="20"/>
                <w:szCs w:val="20"/>
              </w:rPr>
              <w:t>5018 sayılı Kamu Mali Yönetimi ve Kontrol Kanunu ile Strateji Geliştirme Birimlerinin Çalışma Usul ve Esasları Hakkında Yönetmelikte gereğince belirlenen görevleri yapmak</w:t>
            </w:r>
          </w:p>
          <w:p w:rsidR="00251C3D" w:rsidRPr="006C703F" w:rsidRDefault="00251C3D" w:rsidP="00251C3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C703F">
              <w:rPr>
                <w:rFonts w:cstheme="minorHAnsi"/>
                <w:sz w:val="20"/>
                <w:szCs w:val="20"/>
              </w:rPr>
              <w:t>İlgili mevzuat ve üst yönetim tarafından belirlenmiş hizmetlerin üniversitenin amaç, hedef, strateji ve ilkeleri doğrultusunda  etkili, ekonomik ve verimli şekilde sunulmasını sağlamak için gerekli önlemleri almak</w:t>
            </w:r>
          </w:p>
          <w:p w:rsidR="00251C3D" w:rsidRPr="006C703F" w:rsidRDefault="00251C3D" w:rsidP="00251C3D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6C703F">
              <w:rPr>
                <w:rFonts w:cstheme="minorHAnsi"/>
                <w:sz w:val="20"/>
                <w:szCs w:val="20"/>
              </w:rPr>
              <w:t>Daire başkanlı</w:t>
            </w:r>
            <w:r w:rsidR="00D36E2C" w:rsidRPr="006C703F">
              <w:rPr>
                <w:rFonts w:cstheme="minorHAnsi"/>
                <w:sz w:val="20"/>
                <w:szCs w:val="20"/>
              </w:rPr>
              <w:t>ğının işlerinin</w:t>
            </w:r>
            <w:r w:rsidRPr="006C703F">
              <w:rPr>
                <w:rFonts w:cstheme="minorHAnsi"/>
                <w:sz w:val="20"/>
                <w:szCs w:val="20"/>
              </w:rPr>
              <w:t xml:space="preserve"> yürütmesinde kanun, tüzük, yönetmelik, genelge, kararname ve diğer mevzuat hükümlerinin personel tarafından uygulanmasını sağlamak</w:t>
            </w:r>
          </w:p>
          <w:p w:rsidR="00251C3D" w:rsidRPr="006C703F" w:rsidRDefault="00251C3D" w:rsidP="00251C3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C703F">
              <w:rPr>
                <w:rFonts w:cstheme="minorHAnsi"/>
                <w:sz w:val="20"/>
                <w:szCs w:val="20"/>
              </w:rPr>
              <w:t>Başkanlık personelinin uyum, eşgüdüm ve işbirliği içinde çalışmasını sağlamak</w:t>
            </w:r>
          </w:p>
          <w:p w:rsidR="00251C3D" w:rsidRPr="006C703F" w:rsidRDefault="00251C3D" w:rsidP="00251C3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C703F">
              <w:rPr>
                <w:rFonts w:cstheme="minorHAnsi"/>
                <w:sz w:val="20"/>
                <w:szCs w:val="20"/>
              </w:rPr>
              <w:t>Personelin eğitim ihtiyacını belirlemek, güncel mevzuatın takip edilmesi ve uygulanmasını sağlamak</w:t>
            </w:r>
          </w:p>
          <w:p w:rsidR="00251C3D" w:rsidRPr="006C703F" w:rsidRDefault="00251C3D" w:rsidP="00251C3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C703F">
              <w:rPr>
                <w:rFonts w:cstheme="minorHAnsi"/>
                <w:sz w:val="20"/>
                <w:szCs w:val="20"/>
              </w:rPr>
              <w:t>İhtiyaç duyulması halinde yeni personel taleplerini üst amirine iletmek</w:t>
            </w:r>
          </w:p>
          <w:p w:rsidR="00251C3D" w:rsidRPr="006C703F" w:rsidRDefault="00251C3D" w:rsidP="00251C3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C703F">
              <w:rPr>
                <w:rFonts w:cstheme="minorHAnsi"/>
                <w:sz w:val="20"/>
                <w:szCs w:val="20"/>
              </w:rPr>
              <w:t>İdarenin stratejik plan ve performans programının hazırlanması ve sonuçlarının konsolide edilmesi, idare bütçesinin hazırlanması, yıllık idare faaliyet raporlarının hazırlanması, idarenin yatırım programının hazırlanması çalışmalarını koordine etmek</w:t>
            </w:r>
          </w:p>
          <w:p w:rsidR="00251C3D" w:rsidRPr="006C703F" w:rsidRDefault="00251C3D" w:rsidP="00251C3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C703F">
              <w:rPr>
                <w:rFonts w:cstheme="minorHAnsi"/>
                <w:sz w:val="20"/>
                <w:szCs w:val="20"/>
              </w:rPr>
              <w:t>İç kontrol ve ön mali kontrolün etkin şekilde yürütülebilmesi için gerekli önlemleri almak</w:t>
            </w:r>
          </w:p>
          <w:p w:rsidR="00251C3D" w:rsidRPr="006C703F" w:rsidRDefault="00251C3D" w:rsidP="00251C3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703F">
              <w:rPr>
                <w:rFonts w:cstheme="minorHAnsi"/>
                <w:color w:val="000000" w:themeColor="text1"/>
                <w:sz w:val="20"/>
                <w:szCs w:val="20"/>
              </w:rPr>
              <w:t>İdarenin muhasebe hizmetlerinin yürütülmesini sağlamak</w:t>
            </w:r>
          </w:p>
          <w:p w:rsidR="00251C3D" w:rsidRPr="006C703F" w:rsidRDefault="00251C3D" w:rsidP="00251C3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C703F">
              <w:rPr>
                <w:rFonts w:cstheme="minorHAnsi"/>
                <w:sz w:val="20"/>
                <w:szCs w:val="20"/>
              </w:rPr>
              <w:t>Malî kanunlarla ilgili diğer mevzuatın uygulanması konusunda üst yöneticiye ve harcama yetkililerine gerekli bilgileri sağlamak ve danışmanlık yapmak</w:t>
            </w:r>
          </w:p>
          <w:p w:rsidR="00251C3D" w:rsidRPr="006C703F" w:rsidRDefault="00251C3D" w:rsidP="00251C3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C703F">
              <w:rPr>
                <w:rFonts w:cstheme="minorHAnsi"/>
                <w:sz w:val="20"/>
                <w:szCs w:val="20"/>
              </w:rPr>
              <w:t>Görev alanı ile ilgili diğer mevzuat hükümlerini yerine getirmek</w:t>
            </w:r>
          </w:p>
          <w:p w:rsidR="00251C3D" w:rsidRPr="006C703F" w:rsidRDefault="00251C3D" w:rsidP="00251C3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C703F">
              <w:rPr>
                <w:rFonts w:cstheme="minorHAnsi"/>
                <w:sz w:val="20"/>
                <w:szCs w:val="20"/>
              </w:rPr>
              <w:t>Genel sekreterlikçe verilen diğer görevleri yerine getirmek</w:t>
            </w:r>
          </w:p>
          <w:p w:rsidR="00251C3D" w:rsidRPr="006C703F" w:rsidRDefault="00251C3D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251C3D" w:rsidRPr="006C703F" w:rsidRDefault="00251C3D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C703F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251C3D" w:rsidRPr="006C703F" w:rsidRDefault="00251C3D" w:rsidP="00251C3D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C703F">
              <w:rPr>
                <w:rFonts w:cstheme="minorHAnsi"/>
                <w:sz w:val="20"/>
                <w:szCs w:val="20"/>
              </w:rPr>
              <w:t>En az 4 yıllık Lisans mezunu olmak</w:t>
            </w:r>
          </w:p>
          <w:p w:rsidR="00251C3D" w:rsidRPr="006C703F" w:rsidRDefault="00251C3D" w:rsidP="00251C3D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C703F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251C3D" w:rsidRPr="006C703F" w:rsidRDefault="00251C3D" w:rsidP="00251C3D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C703F">
              <w:rPr>
                <w:color w:val="1A1A1A"/>
                <w:sz w:val="20"/>
                <w:szCs w:val="20"/>
              </w:rPr>
              <w:t>Yöneticilik niteliklerine sahip olmak; sevk ve idare gereklerini bilmek</w:t>
            </w:r>
          </w:p>
          <w:p w:rsidR="00251C3D" w:rsidRPr="006C703F" w:rsidRDefault="00251C3D" w:rsidP="00251C3D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C703F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251C3D" w:rsidRPr="006C703F" w:rsidRDefault="00251C3D" w:rsidP="00A0474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251C3D" w:rsidRPr="006C703F" w:rsidRDefault="00251C3D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C703F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251C3D" w:rsidRPr="006C703F" w:rsidRDefault="00251C3D" w:rsidP="00251C3D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C703F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251C3D" w:rsidRPr="006C703F" w:rsidRDefault="00251C3D" w:rsidP="00251C3D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C703F">
              <w:rPr>
                <w:rFonts w:cstheme="minorHAnsi"/>
                <w:sz w:val="20"/>
                <w:szCs w:val="20"/>
              </w:rPr>
              <w:t xml:space="preserve">5018 sayılı Kamu Mali Yönetimi ve Kontrol Kanunu </w:t>
            </w:r>
          </w:p>
          <w:p w:rsidR="00251C3D" w:rsidRPr="006C703F" w:rsidRDefault="00251C3D" w:rsidP="00251C3D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C703F">
              <w:rPr>
                <w:rFonts w:cstheme="minorHAnsi"/>
                <w:sz w:val="20"/>
                <w:szCs w:val="20"/>
              </w:rPr>
              <w:t>Strateji Geliştirme Birimlerinin Çalışma Usul v</w:t>
            </w:r>
            <w:r w:rsidR="00370B2F" w:rsidRPr="006C703F">
              <w:rPr>
                <w:rFonts w:cstheme="minorHAnsi"/>
                <w:sz w:val="20"/>
                <w:szCs w:val="20"/>
              </w:rPr>
              <w:t>e Esasları Hakkında Yönetmelik</w:t>
            </w:r>
          </w:p>
          <w:p w:rsidR="00251C3D" w:rsidRPr="006C703F" w:rsidRDefault="00251C3D" w:rsidP="00A0474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777217" w:rsidRPr="006C703F" w:rsidRDefault="00521E21" w:rsidP="00370B2F">
      <w:pPr>
        <w:rPr>
          <w:sz w:val="20"/>
          <w:szCs w:val="20"/>
        </w:rPr>
      </w:pPr>
    </w:p>
    <w:sectPr w:rsidR="00777217" w:rsidRPr="006C7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E21" w:rsidRDefault="00521E21" w:rsidP="00011745">
      <w:pPr>
        <w:spacing w:after="0" w:line="240" w:lineRule="auto"/>
      </w:pPr>
      <w:r>
        <w:separator/>
      </w:r>
    </w:p>
  </w:endnote>
  <w:endnote w:type="continuationSeparator" w:id="0">
    <w:p w:rsidR="00521E21" w:rsidRDefault="00521E21" w:rsidP="0001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5F" w:rsidRDefault="00441F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5F" w:rsidRDefault="00441F5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5F" w:rsidRDefault="00441F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E21" w:rsidRDefault="00521E21" w:rsidP="00011745">
      <w:pPr>
        <w:spacing w:after="0" w:line="240" w:lineRule="auto"/>
      </w:pPr>
      <w:r>
        <w:separator/>
      </w:r>
    </w:p>
  </w:footnote>
  <w:footnote w:type="continuationSeparator" w:id="0">
    <w:p w:rsidR="00521E21" w:rsidRDefault="00521E21" w:rsidP="00011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5F" w:rsidRDefault="00441F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6"/>
      <w:tblW w:w="9606" w:type="dxa"/>
      <w:tblLook w:val="04A0" w:firstRow="1" w:lastRow="0" w:firstColumn="1" w:lastColumn="0" w:noHBand="0" w:noVBand="1"/>
    </w:tblPr>
    <w:tblGrid>
      <w:gridCol w:w="2556"/>
      <w:gridCol w:w="3426"/>
      <w:gridCol w:w="2081"/>
      <w:gridCol w:w="1543"/>
    </w:tblGrid>
    <w:tr w:rsidR="00011745" w:rsidRPr="00DC250D" w:rsidTr="00C43789">
      <w:trPr>
        <w:trHeight w:val="282"/>
      </w:trPr>
      <w:tc>
        <w:tcPr>
          <w:tcW w:w="2401" w:type="dxa"/>
          <w:vMerge w:val="restart"/>
          <w:vAlign w:val="center"/>
        </w:tcPr>
        <w:p w:rsidR="00011745" w:rsidRPr="006C703F" w:rsidRDefault="004642DA" w:rsidP="0001174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19C605D3" wp14:editId="5CDA308A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011745" w:rsidRPr="006C703F" w:rsidRDefault="007F7482" w:rsidP="0001174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STRATEJİ GELİŞTİRME DAİRE BAŞKANI</w:t>
          </w:r>
        </w:p>
      </w:tc>
      <w:tc>
        <w:tcPr>
          <w:tcW w:w="2126" w:type="dxa"/>
          <w:vAlign w:val="center"/>
        </w:tcPr>
        <w:p w:rsidR="00011745" w:rsidRPr="006C703F" w:rsidRDefault="00011745" w:rsidP="00011745">
          <w:pPr>
            <w:rPr>
              <w:rFonts w:cstheme="minorHAnsi"/>
              <w:b/>
              <w:sz w:val="20"/>
              <w:szCs w:val="20"/>
            </w:rPr>
          </w:pPr>
          <w:r w:rsidRPr="006C703F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011745" w:rsidRPr="00DC250D" w:rsidRDefault="00DC250D" w:rsidP="00011745">
          <w:pPr>
            <w:jc w:val="center"/>
            <w:rPr>
              <w:rFonts w:cstheme="minorHAnsi"/>
              <w:b/>
              <w:sz w:val="16"/>
              <w:szCs w:val="16"/>
            </w:rPr>
          </w:pPr>
          <w:r w:rsidRPr="00DC250D">
            <w:rPr>
              <w:rFonts w:cstheme="minorHAnsi"/>
              <w:b/>
              <w:sz w:val="16"/>
              <w:szCs w:val="16"/>
            </w:rPr>
            <w:t>KYS-GRV-008</w:t>
          </w:r>
        </w:p>
      </w:tc>
    </w:tr>
    <w:tr w:rsidR="00011745" w:rsidRPr="006C703F" w:rsidTr="00C43789">
      <w:trPr>
        <w:trHeight w:val="283"/>
      </w:trPr>
      <w:tc>
        <w:tcPr>
          <w:tcW w:w="2401" w:type="dxa"/>
          <w:vMerge/>
          <w:vAlign w:val="center"/>
        </w:tcPr>
        <w:p w:rsidR="00011745" w:rsidRPr="006C703F" w:rsidRDefault="00011745" w:rsidP="0001174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011745" w:rsidRPr="006C703F" w:rsidRDefault="00011745" w:rsidP="0001174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011745" w:rsidRPr="006C703F" w:rsidRDefault="00011745" w:rsidP="00011745">
          <w:pPr>
            <w:rPr>
              <w:rFonts w:cstheme="minorHAnsi"/>
              <w:b/>
              <w:sz w:val="20"/>
              <w:szCs w:val="20"/>
            </w:rPr>
          </w:pPr>
          <w:r w:rsidRPr="006C703F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011745" w:rsidRPr="006C703F" w:rsidRDefault="004642DA" w:rsidP="0001174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  <w:bookmarkStart w:id="0" w:name="_GoBack"/>
          <w:bookmarkEnd w:id="0"/>
        </w:p>
      </w:tc>
    </w:tr>
    <w:tr w:rsidR="00011745" w:rsidRPr="006C703F" w:rsidTr="00C43789">
      <w:trPr>
        <w:trHeight w:val="283"/>
      </w:trPr>
      <w:tc>
        <w:tcPr>
          <w:tcW w:w="2401" w:type="dxa"/>
          <w:vMerge/>
          <w:vAlign w:val="center"/>
        </w:tcPr>
        <w:p w:rsidR="00011745" w:rsidRPr="006C703F" w:rsidRDefault="00011745" w:rsidP="0001174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011745" w:rsidRPr="006C703F" w:rsidRDefault="00011745" w:rsidP="0001174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011745" w:rsidRPr="006C703F" w:rsidRDefault="00011745" w:rsidP="00011745">
          <w:pPr>
            <w:rPr>
              <w:rFonts w:cstheme="minorHAnsi"/>
              <w:b/>
              <w:sz w:val="20"/>
              <w:szCs w:val="20"/>
            </w:rPr>
          </w:pPr>
          <w:r w:rsidRPr="006C703F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011745" w:rsidRPr="006C703F" w:rsidRDefault="00011745" w:rsidP="0001174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011745" w:rsidRPr="006C703F" w:rsidTr="00C43789">
      <w:trPr>
        <w:trHeight w:val="283"/>
      </w:trPr>
      <w:tc>
        <w:tcPr>
          <w:tcW w:w="2401" w:type="dxa"/>
          <w:vAlign w:val="center"/>
        </w:tcPr>
        <w:p w:rsidR="00011745" w:rsidRPr="006C703F" w:rsidRDefault="004642DA" w:rsidP="0001174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011745" w:rsidRPr="006C703F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011745" w:rsidRPr="006C703F" w:rsidRDefault="00011745" w:rsidP="0001174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011745" w:rsidRPr="006C703F" w:rsidRDefault="00011745" w:rsidP="00011745">
          <w:pPr>
            <w:rPr>
              <w:rFonts w:cstheme="minorHAnsi"/>
              <w:b/>
              <w:sz w:val="20"/>
              <w:szCs w:val="20"/>
            </w:rPr>
          </w:pPr>
          <w:r w:rsidRPr="006C703F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011745" w:rsidRPr="006C703F" w:rsidRDefault="00011745" w:rsidP="0001174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011745" w:rsidRPr="006C703F" w:rsidTr="00C43789">
      <w:trPr>
        <w:trHeight w:val="283"/>
      </w:trPr>
      <w:tc>
        <w:tcPr>
          <w:tcW w:w="2401" w:type="dxa"/>
          <w:vAlign w:val="center"/>
        </w:tcPr>
        <w:p w:rsidR="00011745" w:rsidRPr="006C703F" w:rsidRDefault="00011745" w:rsidP="0001174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011745" w:rsidRPr="006C703F" w:rsidRDefault="00011745" w:rsidP="0001174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011745" w:rsidRPr="006C703F" w:rsidRDefault="00011745" w:rsidP="00011745">
          <w:pPr>
            <w:rPr>
              <w:rFonts w:cstheme="minorHAnsi"/>
              <w:b/>
              <w:sz w:val="20"/>
              <w:szCs w:val="20"/>
            </w:rPr>
          </w:pPr>
          <w:r w:rsidRPr="006C703F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011745" w:rsidRPr="006C703F" w:rsidRDefault="00DC250D" w:rsidP="00011745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DC250D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DC250D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DC250D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4642DA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DC250D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DC250D">
            <w:rPr>
              <w:rFonts w:cstheme="minorHAnsi"/>
              <w:b/>
              <w:sz w:val="18"/>
              <w:szCs w:val="18"/>
            </w:rPr>
            <w:t xml:space="preserve"> / </w:t>
          </w:r>
          <w:r w:rsidRPr="00DC250D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DC250D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DC250D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4642DA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DC250D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:rsidR="00011745" w:rsidRDefault="000117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5F" w:rsidRDefault="00441F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0396B"/>
    <w:multiLevelType w:val="hybridMultilevel"/>
    <w:tmpl w:val="DCB0EF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F2"/>
    <w:rsid w:val="00011745"/>
    <w:rsid w:val="001B28EB"/>
    <w:rsid w:val="001D410A"/>
    <w:rsid w:val="00251C3D"/>
    <w:rsid w:val="00370B2F"/>
    <w:rsid w:val="00392D7F"/>
    <w:rsid w:val="003C0CA7"/>
    <w:rsid w:val="00441F5F"/>
    <w:rsid w:val="004642DA"/>
    <w:rsid w:val="00521E21"/>
    <w:rsid w:val="00527BE6"/>
    <w:rsid w:val="005414AE"/>
    <w:rsid w:val="0062399A"/>
    <w:rsid w:val="006C703F"/>
    <w:rsid w:val="00712D64"/>
    <w:rsid w:val="007F7482"/>
    <w:rsid w:val="00AD10DC"/>
    <w:rsid w:val="00B762F9"/>
    <w:rsid w:val="00CB31A5"/>
    <w:rsid w:val="00D36E2C"/>
    <w:rsid w:val="00DC250D"/>
    <w:rsid w:val="00E06F3A"/>
    <w:rsid w:val="00E4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97ECE"/>
  <w15:docId w15:val="{243A0796-80D0-42A8-962A-9ABB5E92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C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6">
    <w:name w:val="Tablo Kılavuzu26"/>
    <w:basedOn w:val="NormalTablo"/>
    <w:next w:val="TabloKlavuzu"/>
    <w:uiPriority w:val="59"/>
    <w:rsid w:val="0025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5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1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1745"/>
  </w:style>
  <w:style w:type="paragraph" w:styleId="AltBilgi">
    <w:name w:val="footer"/>
    <w:basedOn w:val="Normal"/>
    <w:link w:val="AltBilgiChar"/>
    <w:uiPriority w:val="99"/>
    <w:unhideWhenUsed/>
    <w:rsid w:val="0001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1745"/>
  </w:style>
  <w:style w:type="paragraph" w:styleId="BalonMetni">
    <w:name w:val="Balloon Text"/>
    <w:basedOn w:val="Normal"/>
    <w:link w:val="BalonMetniChar"/>
    <w:uiPriority w:val="99"/>
    <w:semiHidden/>
    <w:unhideWhenUsed/>
    <w:rsid w:val="0044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Semih Dikmen</cp:lastModifiedBy>
  <cp:revision>2</cp:revision>
  <dcterms:created xsi:type="dcterms:W3CDTF">2022-03-12T09:51:00Z</dcterms:created>
  <dcterms:modified xsi:type="dcterms:W3CDTF">2022-03-12T09:51:00Z</dcterms:modified>
</cp:coreProperties>
</file>