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A55CDF" w:rsidRPr="007E26B0" w14:paraId="3FE925FA" w14:textId="77777777" w:rsidTr="002E65E2">
        <w:trPr>
          <w:trHeight w:val="283"/>
        </w:trPr>
        <w:tc>
          <w:tcPr>
            <w:tcW w:w="2490" w:type="dxa"/>
            <w:vAlign w:val="bottom"/>
          </w:tcPr>
          <w:p w14:paraId="0AAE0752" w14:textId="77777777" w:rsidR="00A55CDF" w:rsidRPr="007E26B0" w:rsidRDefault="00A55CDF" w:rsidP="00F371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</w:tcPr>
          <w:p w14:paraId="515B8AD0" w14:textId="77777777" w:rsidR="00A55CDF" w:rsidRPr="007E26B0" w:rsidRDefault="00050039" w:rsidP="00F3718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26B0">
              <w:rPr>
                <w:rFonts w:cstheme="minorHAnsi"/>
                <w:sz w:val="20"/>
                <w:szCs w:val="20"/>
              </w:rPr>
              <w:t>Ana Bilim Dalı Başkanı</w:t>
            </w:r>
          </w:p>
        </w:tc>
      </w:tr>
      <w:tr w:rsidR="00A55CDF" w:rsidRPr="007E26B0" w14:paraId="4BBE84E9" w14:textId="77777777" w:rsidTr="002E65E2">
        <w:trPr>
          <w:trHeight w:val="283"/>
        </w:trPr>
        <w:tc>
          <w:tcPr>
            <w:tcW w:w="2490" w:type="dxa"/>
          </w:tcPr>
          <w:p w14:paraId="6E62CE8B" w14:textId="77777777" w:rsidR="00A55CDF" w:rsidRPr="007E26B0" w:rsidRDefault="00A55CDF" w:rsidP="00F371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</w:tcPr>
          <w:p w14:paraId="5F9AABD2" w14:textId="77777777" w:rsidR="00A55CDF" w:rsidRPr="007E26B0" w:rsidRDefault="00E2329B" w:rsidP="00F3718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Başkanı</w:t>
            </w:r>
          </w:p>
        </w:tc>
      </w:tr>
      <w:tr w:rsidR="00A55CDF" w:rsidRPr="007E26B0" w14:paraId="179A1C9A" w14:textId="77777777" w:rsidTr="002E65E2">
        <w:trPr>
          <w:trHeight w:val="10350"/>
        </w:trPr>
        <w:tc>
          <w:tcPr>
            <w:tcW w:w="9640" w:type="dxa"/>
            <w:gridSpan w:val="2"/>
          </w:tcPr>
          <w:p w14:paraId="66FDAE84" w14:textId="77777777" w:rsidR="00A55CDF" w:rsidRPr="007E26B0" w:rsidRDefault="00A55CDF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14:paraId="2D1CEFEC" w14:textId="77777777" w:rsidR="00A55CDF" w:rsidRPr="007E26B0" w:rsidRDefault="00050039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 xml:space="preserve"> GÖREV TANIMI</w:t>
            </w:r>
          </w:p>
          <w:p w14:paraId="4A2CEEC6" w14:textId="1F101E86" w:rsidR="00A55CDF" w:rsidRPr="007E26B0" w:rsidRDefault="00A55CDF" w:rsidP="00050039">
            <w:pPr>
              <w:ind w:right="283"/>
              <w:jc w:val="both"/>
              <w:rPr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Eğitim-öğretim uygulama ve araştırma faaliyetlerinin yürütüldüğü akademik bir birim olan ana bilim dalı, başkanları, o ana bilim dalının profesörleri, bulunmadığı takdirde doçentleri, bulunmadığı takdirde yardımcı doçentleri, yardımcı doçent bulunmadığı takdirde öğretim görevlileri arasından, o ana bilim dalında görevli öğretim üyeleri ve öğretim görevlilerince seçilir ve dekan tarafından atanırlar. Atamalar Rektörlüğe bildirilir. Görev süreleri üç yıldır. </w:t>
            </w:r>
            <w:proofErr w:type="gramStart"/>
            <w:r w:rsidR="00CC3E0D">
              <w:rPr>
                <w:sz w:val="20"/>
                <w:szCs w:val="20"/>
              </w:rPr>
              <w:t>Fırat</w:t>
            </w:r>
            <w:r w:rsidRPr="007E26B0">
              <w:rPr>
                <w:sz w:val="20"/>
                <w:szCs w:val="20"/>
              </w:rPr>
              <w:t xml:space="preserve">  Üniversitesi</w:t>
            </w:r>
            <w:proofErr w:type="gramEnd"/>
            <w:r w:rsidRPr="007E26B0">
              <w:rPr>
                <w:sz w:val="20"/>
                <w:szCs w:val="20"/>
              </w:rPr>
              <w:t xml:space="preserve">  üst yönetimi tarafından belirlenen amaç ve ilkelere uygun olarak; fakültenin vizyonu, misyonu doğrultusunda eğitim ve öğretimi gerçekleştirmek için gerekli tüm faaliyetlerin yürütülmesi amacıyla anabilim dalı ile ilgili işleri yapar.</w:t>
            </w:r>
          </w:p>
          <w:p w14:paraId="38D10B0E" w14:textId="77777777" w:rsidR="00A55CDF" w:rsidRPr="007E26B0" w:rsidRDefault="00050039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 xml:space="preserve"> GÖREV, YETKİ VE SORUMLULUKLAR</w:t>
            </w:r>
          </w:p>
          <w:p w14:paraId="46A1EBDB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 kuruluna başkanlık ed</w:t>
            </w:r>
            <w:r w:rsidR="00050039" w:rsidRPr="007E26B0">
              <w:rPr>
                <w:sz w:val="20"/>
                <w:szCs w:val="20"/>
              </w:rPr>
              <w:t>er ve kurul kararlarını yürütür</w:t>
            </w:r>
          </w:p>
          <w:p w14:paraId="4CE20D3F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dalında öğretim elem</w:t>
            </w:r>
            <w:r w:rsidR="00050039" w:rsidRPr="007E26B0">
              <w:rPr>
                <w:sz w:val="20"/>
                <w:szCs w:val="20"/>
              </w:rPr>
              <w:t>anları arasında eşgüdümü sağlar</w:t>
            </w:r>
          </w:p>
          <w:p w14:paraId="1722F7D1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 ders dağılımlarını öğretim elemanları arasında den</w:t>
            </w:r>
            <w:r w:rsidR="00050039" w:rsidRPr="007E26B0">
              <w:rPr>
                <w:sz w:val="20"/>
                <w:szCs w:val="20"/>
              </w:rPr>
              <w:t>geli ve makul bir şekilde yapar</w:t>
            </w:r>
          </w:p>
          <w:p w14:paraId="3389BCCE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Bölüm Başkanlığı ile kendi anabilim dalı arasındaki her türlü yazışmanın sağlıklı b</w:t>
            </w:r>
            <w:r w:rsidR="00050039" w:rsidRPr="007E26B0">
              <w:rPr>
                <w:sz w:val="20"/>
                <w:szCs w:val="20"/>
              </w:rPr>
              <w:t>ir şekilde yürütülmesini sağlar</w:t>
            </w:r>
          </w:p>
          <w:p w14:paraId="461D074C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Ek ders ve sınav ücret çizelgelerinin zamanında ve doğru bi</w:t>
            </w:r>
            <w:r w:rsidR="00050039" w:rsidRPr="007E26B0">
              <w:rPr>
                <w:sz w:val="20"/>
                <w:szCs w:val="20"/>
              </w:rPr>
              <w:t>r biçimde hazırlanmasını sağlar</w:t>
            </w:r>
          </w:p>
          <w:p w14:paraId="62ADCDFE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dalında genel gö</w:t>
            </w:r>
            <w:r w:rsidR="00050039" w:rsidRPr="007E26B0">
              <w:rPr>
                <w:sz w:val="20"/>
                <w:szCs w:val="20"/>
              </w:rPr>
              <w:t>zetim ve denetim görevini yapar</w:t>
            </w:r>
          </w:p>
          <w:p w14:paraId="40C46BE1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dalında eğitim-öğretimin düzenli bi</w:t>
            </w:r>
            <w:r w:rsidR="00050039" w:rsidRPr="007E26B0">
              <w:rPr>
                <w:sz w:val="20"/>
                <w:szCs w:val="20"/>
              </w:rPr>
              <w:t>r şekilde sürdürülmesini sağlar</w:t>
            </w:r>
          </w:p>
          <w:p w14:paraId="4A6B7213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Anabilim dalının eğitim-öğretimle ilgili sorunlarını tespit </w:t>
            </w:r>
            <w:r w:rsidR="00050039" w:rsidRPr="007E26B0">
              <w:rPr>
                <w:sz w:val="20"/>
                <w:szCs w:val="20"/>
              </w:rPr>
              <w:t>eder, Bölüm Başkanlığına iletir</w:t>
            </w:r>
          </w:p>
          <w:p w14:paraId="17042CDB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Dalındaki öğrenci-öğretim elemanı ilişkilerinin, eğitim-öğretimin amaçları doğrultusunda, düzenli ve sağlıklı b</w:t>
            </w:r>
            <w:r w:rsidR="00050039" w:rsidRPr="007E26B0">
              <w:rPr>
                <w:sz w:val="20"/>
                <w:szCs w:val="20"/>
              </w:rPr>
              <w:t>ir şekilde yürütülmesini sağlar</w:t>
            </w:r>
          </w:p>
          <w:p w14:paraId="16397AE5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Eğitim-öğretimin ve bilimsel araştırmaların verimli ve etkili bir şekilde gerçekleşmesi amacına yönelik olarak Anabilim dalındaki öğretim elemanları arasında uygun bir iletiş</w:t>
            </w:r>
            <w:r w:rsidR="00050039" w:rsidRPr="007E26B0">
              <w:rPr>
                <w:sz w:val="20"/>
                <w:szCs w:val="20"/>
              </w:rPr>
              <w:t>im ortamının oluşmasına çalışır</w:t>
            </w:r>
          </w:p>
          <w:p w14:paraId="362C528C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dalında araştırma projelerinin düzenli olarak hazırlan</w:t>
            </w:r>
            <w:r w:rsidR="00050039" w:rsidRPr="007E26B0">
              <w:rPr>
                <w:sz w:val="20"/>
                <w:szCs w:val="20"/>
              </w:rPr>
              <w:t>masını ve sürdürülmesini sağlar</w:t>
            </w:r>
          </w:p>
          <w:p w14:paraId="5D6796E8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 değerlendirme ve kalite g</w:t>
            </w:r>
            <w:r w:rsidR="00050039" w:rsidRPr="007E26B0">
              <w:rPr>
                <w:sz w:val="20"/>
                <w:szCs w:val="20"/>
              </w:rPr>
              <w:t>eliştirme çalışmalarını yürütür</w:t>
            </w:r>
          </w:p>
          <w:p w14:paraId="6A151826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dalının çıktı yeterliliklerinin belirlenmesini sağlar</w:t>
            </w:r>
          </w:p>
          <w:p w14:paraId="464C49CA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dalının öz değe</w:t>
            </w:r>
            <w:r w:rsidR="00050039" w:rsidRPr="007E26B0">
              <w:rPr>
                <w:sz w:val="20"/>
                <w:szCs w:val="20"/>
              </w:rPr>
              <w:t>rlendirme raporunu hazırlar</w:t>
            </w:r>
          </w:p>
          <w:p w14:paraId="77B79801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dalının stratejik planını hazırlar</w:t>
            </w:r>
          </w:p>
          <w:p w14:paraId="594F6575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dalının akredite edilmesi</w:t>
            </w:r>
            <w:r w:rsidR="00050039" w:rsidRPr="007E26B0">
              <w:rPr>
                <w:sz w:val="20"/>
                <w:szCs w:val="20"/>
              </w:rPr>
              <w:t xml:space="preserve"> için gerekli çalışmaları yapar</w:t>
            </w:r>
          </w:p>
          <w:p w14:paraId="55F42686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dalının değerlendirme ve kalite geliştirme çalışmalarının yıllık raporlarını hazırlar ve Bölüm Başkanlığın</w:t>
            </w:r>
            <w:r w:rsidR="00050039" w:rsidRPr="007E26B0">
              <w:rPr>
                <w:sz w:val="20"/>
                <w:szCs w:val="20"/>
              </w:rPr>
              <w:t>a sunar</w:t>
            </w:r>
          </w:p>
          <w:p w14:paraId="1276C789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Fakülte Akademik Genel Kurul için Anabilim dalı ile </w:t>
            </w:r>
            <w:r w:rsidR="00050039" w:rsidRPr="007E26B0">
              <w:rPr>
                <w:sz w:val="20"/>
                <w:szCs w:val="20"/>
              </w:rPr>
              <w:t>ilgili gerekli bilgileri sağlar</w:t>
            </w:r>
          </w:p>
          <w:p w14:paraId="71D198FA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Her eğitim-öğretim yarıyılında Anabilim dalının seminer programlarını hazır</w:t>
            </w:r>
            <w:r w:rsidR="00050039" w:rsidRPr="007E26B0">
              <w:rPr>
                <w:sz w:val="20"/>
                <w:szCs w:val="20"/>
              </w:rPr>
              <w:t>lar ve Bölüm Başkanlığına sunar</w:t>
            </w:r>
          </w:p>
          <w:p w14:paraId="10E6903B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Her dönem başında ders kayıtlarının düzenli bir biçimde yapılmasını sağlar</w:t>
            </w:r>
          </w:p>
          <w:p w14:paraId="7837E000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Ders kayıtlarının düzenli bir biçimde yapılabilmesi için </w:t>
            </w:r>
            <w:r w:rsidR="00050039" w:rsidRPr="007E26B0">
              <w:rPr>
                <w:sz w:val="20"/>
                <w:szCs w:val="20"/>
              </w:rPr>
              <w:t>danışmanlarla toplantılar yapar</w:t>
            </w:r>
          </w:p>
          <w:p w14:paraId="12996586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Ders notlarının düzenli bir biçimde otomasy</w:t>
            </w:r>
            <w:r w:rsidR="00050039" w:rsidRPr="007E26B0">
              <w:rPr>
                <w:sz w:val="20"/>
                <w:szCs w:val="20"/>
              </w:rPr>
              <w:t>on sistemine girilmesini sağlar</w:t>
            </w:r>
          </w:p>
          <w:p w14:paraId="21D89388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Derslik programları ile öğretim elemanı programlarının hazırlanmasını</w:t>
            </w:r>
            <w:r w:rsidR="00050039" w:rsidRPr="007E26B0">
              <w:rPr>
                <w:sz w:val="20"/>
                <w:szCs w:val="20"/>
              </w:rPr>
              <w:t xml:space="preserve"> sağlar</w:t>
            </w:r>
          </w:p>
          <w:p w14:paraId="0CA097AF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Öğretim elemanlarının hazırlayacakları ders öğretim programlarının internet ortamında ilan edilmesini ve ö</w:t>
            </w:r>
            <w:r w:rsidR="00050039" w:rsidRPr="007E26B0">
              <w:rPr>
                <w:sz w:val="20"/>
                <w:szCs w:val="20"/>
              </w:rPr>
              <w:t>ğrencilere duyurulmasını sağlar</w:t>
            </w:r>
          </w:p>
          <w:p w14:paraId="07E7CECC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Dekanlığın görev alanı ile ilgili vereceği diğer işleri yapar</w:t>
            </w:r>
          </w:p>
          <w:p w14:paraId="62F520C1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 başkanı, yukarıda yazılı olan bütün bu görevleri kanunlara ve yönetmeliklere uygun olarak yerine getirirken, b</w:t>
            </w:r>
            <w:r w:rsidR="00050039" w:rsidRPr="007E26B0">
              <w:rPr>
                <w:sz w:val="20"/>
                <w:szCs w:val="20"/>
              </w:rPr>
              <w:t>ölüm başkanına karşı sorumludur</w:t>
            </w:r>
          </w:p>
          <w:p w14:paraId="70F6723D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lastRenderedPageBreak/>
              <w:t>Yukarıda belirtilen görev ve sorumlulukları gerçe</w:t>
            </w:r>
            <w:r w:rsidR="00050039" w:rsidRPr="007E26B0">
              <w:rPr>
                <w:sz w:val="20"/>
                <w:szCs w:val="20"/>
              </w:rPr>
              <w:t>kleştirme yetkisine sahip olmak</w:t>
            </w:r>
          </w:p>
          <w:p w14:paraId="39897E1B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Faaliyetlerin gerçekleştirilmesi için gerekli araç ve gereci </w:t>
            </w:r>
            <w:r w:rsidR="00050039" w:rsidRPr="007E26B0">
              <w:rPr>
                <w:sz w:val="20"/>
                <w:szCs w:val="20"/>
              </w:rPr>
              <w:t>kullanabilmek</w:t>
            </w:r>
          </w:p>
          <w:p w14:paraId="6AB793AB" w14:textId="77777777" w:rsidR="00A55CDF" w:rsidRPr="007E26B0" w:rsidRDefault="00A55CDF" w:rsidP="00B54B24">
            <w:pPr>
              <w:pStyle w:val="NormalWeb"/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b/>
                <w:sz w:val="20"/>
                <w:szCs w:val="20"/>
              </w:rPr>
              <w:t>GÖREVİN GEREKTİRDİĞİ NİTELİ</w:t>
            </w:r>
            <w:r w:rsidR="00050039" w:rsidRPr="007E26B0">
              <w:rPr>
                <w:rFonts w:asciiTheme="minorHAnsi" w:hAnsiTheme="minorHAnsi"/>
                <w:b/>
                <w:sz w:val="20"/>
                <w:szCs w:val="20"/>
              </w:rPr>
              <w:t>KLER</w:t>
            </w:r>
          </w:p>
          <w:p w14:paraId="1FA8FA5D" w14:textId="77777777" w:rsidR="00A55CDF" w:rsidRPr="007E26B0" w:rsidRDefault="00A55CDF" w:rsidP="00A55CDF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657 Sayılı Devlet Memurları Kanunu’nda ve 2547 Sayılı Yüksek Öğretim Kanunu’nda belirtile</w:t>
            </w:r>
            <w:r w:rsidR="00050039" w:rsidRPr="007E26B0">
              <w:rPr>
                <w:rFonts w:asciiTheme="minorHAnsi" w:hAnsiTheme="minorHAnsi"/>
                <w:sz w:val="20"/>
                <w:szCs w:val="20"/>
              </w:rPr>
              <w:t>n genel niteliklere sahip olmak</w:t>
            </w:r>
          </w:p>
          <w:p w14:paraId="30998333" w14:textId="77777777" w:rsidR="00A55CDF" w:rsidRPr="007E26B0" w:rsidRDefault="00A55CDF" w:rsidP="00A55CDF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Görevinin gerektirdiği dü</w:t>
            </w:r>
            <w:r w:rsidR="00050039" w:rsidRPr="007E26B0">
              <w:rPr>
                <w:rFonts w:asciiTheme="minorHAnsi" w:hAnsiTheme="minorHAnsi"/>
                <w:sz w:val="20"/>
                <w:szCs w:val="20"/>
              </w:rPr>
              <w:t>zeyde iş deneyimine sahip olmak</w:t>
            </w:r>
          </w:p>
          <w:p w14:paraId="0C4B04F6" w14:textId="77777777" w:rsidR="00050039" w:rsidRPr="007E26B0" w:rsidRDefault="00A55CDF" w:rsidP="00050039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Yöneticilik niteliklerine sahip olmak; s</w:t>
            </w:r>
            <w:r w:rsidR="00050039" w:rsidRPr="007E26B0">
              <w:rPr>
                <w:rFonts w:asciiTheme="minorHAnsi" w:hAnsiTheme="minorHAnsi"/>
                <w:sz w:val="20"/>
                <w:szCs w:val="20"/>
              </w:rPr>
              <w:t>evk ve idare gereklerini bilmek</w:t>
            </w:r>
          </w:p>
          <w:p w14:paraId="350A0525" w14:textId="77777777" w:rsidR="00050039" w:rsidRPr="007E26B0" w:rsidRDefault="00050039" w:rsidP="0005003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14:paraId="5C74239F" w14:textId="77777777" w:rsidR="00A55CDF" w:rsidRPr="007E26B0" w:rsidRDefault="00A55CDF" w:rsidP="00A55CDF">
            <w:pPr>
              <w:pStyle w:val="NormalWeb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ind w:left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2547 Sayılı YÖK Kanunu</w:t>
            </w:r>
          </w:p>
          <w:p w14:paraId="6E877A07" w14:textId="77777777" w:rsidR="00A55CDF" w:rsidRPr="007E26B0" w:rsidRDefault="00A55CDF" w:rsidP="00A55CDF">
            <w:pPr>
              <w:pStyle w:val="NormalWeb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ind w:left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Üniversitelerde Akademik Teşkilât Yönetmeliği</w:t>
            </w:r>
          </w:p>
          <w:p w14:paraId="5E6154A1" w14:textId="77777777" w:rsidR="00A55CDF" w:rsidRPr="007E26B0" w:rsidRDefault="00A55CDF" w:rsidP="00B54B24">
            <w:pPr>
              <w:pStyle w:val="NormalWeb"/>
              <w:tabs>
                <w:tab w:val="left" w:pos="567"/>
                <w:tab w:val="left" w:pos="709"/>
              </w:tabs>
              <w:spacing w:line="360" w:lineRule="auto"/>
              <w:ind w:left="78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6F88884" w14:textId="77777777" w:rsidR="00A55CDF" w:rsidRPr="007E26B0" w:rsidRDefault="00A55CDF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E4801F6" w14:textId="77777777" w:rsidR="00777217" w:rsidRPr="007E26B0" w:rsidRDefault="004C3526">
      <w:pPr>
        <w:rPr>
          <w:sz w:val="20"/>
          <w:szCs w:val="20"/>
        </w:rPr>
      </w:pPr>
    </w:p>
    <w:sectPr w:rsidR="00777217" w:rsidRPr="007E26B0" w:rsidSect="001B4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7351" w14:textId="77777777" w:rsidR="004C3526" w:rsidRDefault="004C3526" w:rsidP="005315EA">
      <w:pPr>
        <w:spacing w:after="0" w:line="240" w:lineRule="auto"/>
      </w:pPr>
      <w:r>
        <w:separator/>
      </w:r>
    </w:p>
  </w:endnote>
  <w:endnote w:type="continuationSeparator" w:id="0">
    <w:p w14:paraId="6EBE1A62" w14:textId="77777777" w:rsidR="004C3526" w:rsidRDefault="004C3526" w:rsidP="0053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0015" w14:textId="77777777" w:rsidR="00222DC2" w:rsidRDefault="00222D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A958" w14:textId="77777777" w:rsidR="00222DC2" w:rsidRDefault="00222D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51E1" w14:textId="77777777" w:rsidR="00222DC2" w:rsidRDefault="00222D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FFAA" w14:textId="77777777" w:rsidR="004C3526" w:rsidRDefault="004C3526" w:rsidP="005315EA">
      <w:pPr>
        <w:spacing w:after="0" w:line="240" w:lineRule="auto"/>
      </w:pPr>
      <w:r>
        <w:separator/>
      </w:r>
    </w:p>
  </w:footnote>
  <w:footnote w:type="continuationSeparator" w:id="0">
    <w:p w14:paraId="0C6F9CAF" w14:textId="77777777" w:rsidR="004C3526" w:rsidRDefault="004C3526" w:rsidP="0053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47B3" w14:textId="77777777" w:rsidR="00222DC2" w:rsidRDefault="00222D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0"/>
      <w:gridCol w:w="2083"/>
      <w:gridCol w:w="1547"/>
    </w:tblGrid>
    <w:tr w:rsidR="005315EA" w:rsidRPr="007E26B0" w14:paraId="07221346" w14:textId="77777777" w:rsidTr="00D622C4">
      <w:trPr>
        <w:trHeight w:val="282"/>
      </w:trPr>
      <w:tc>
        <w:tcPr>
          <w:tcW w:w="2401" w:type="dxa"/>
          <w:vMerge w:val="restart"/>
          <w:vAlign w:val="center"/>
        </w:tcPr>
        <w:p w14:paraId="7427F83A" w14:textId="77777777" w:rsidR="005315EA" w:rsidRPr="007E26B0" w:rsidRDefault="000609FF" w:rsidP="005315EA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7C312EE0" wp14:editId="05E039DF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14:paraId="3C6ACEF8" w14:textId="77777777" w:rsidR="005315EA" w:rsidRPr="007E26B0" w:rsidRDefault="00A13FC5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ANA BİLİM DALI BAŞKANI</w:t>
          </w:r>
        </w:p>
      </w:tc>
      <w:tc>
        <w:tcPr>
          <w:tcW w:w="2126" w:type="dxa"/>
          <w:vAlign w:val="center"/>
        </w:tcPr>
        <w:p w14:paraId="6892CA58" w14:textId="77777777"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14:paraId="62699265" w14:textId="77777777" w:rsidR="005315EA" w:rsidRPr="00C37A9C" w:rsidRDefault="00222DC2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C37A9C">
            <w:rPr>
              <w:rFonts w:cstheme="minorHAnsi"/>
              <w:b/>
              <w:sz w:val="20"/>
              <w:szCs w:val="20"/>
            </w:rPr>
            <w:t>KYS-GRV-021</w:t>
          </w:r>
        </w:p>
      </w:tc>
    </w:tr>
    <w:tr w:rsidR="005315EA" w:rsidRPr="007E26B0" w14:paraId="01004F03" w14:textId="77777777" w:rsidTr="00D622C4">
      <w:trPr>
        <w:trHeight w:val="283"/>
      </w:trPr>
      <w:tc>
        <w:tcPr>
          <w:tcW w:w="2401" w:type="dxa"/>
          <w:vMerge/>
          <w:vAlign w:val="center"/>
        </w:tcPr>
        <w:p w14:paraId="414A0B18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50986711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01B6DEBB" w14:textId="77777777"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14:paraId="5F8B6075" w14:textId="77777777" w:rsidR="005315EA" w:rsidRPr="00C37A9C" w:rsidRDefault="000609FF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23.12.20211</w:t>
          </w:r>
        </w:p>
      </w:tc>
    </w:tr>
    <w:tr w:rsidR="005315EA" w:rsidRPr="007E26B0" w14:paraId="41DB6F81" w14:textId="77777777" w:rsidTr="00D622C4">
      <w:trPr>
        <w:trHeight w:val="283"/>
      </w:trPr>
      <w:tc>
        <w:tcPr>
          <w:tcW w:w="2401" w:type="dxa"/>
          <w:vMerge/>
          <w:vAlign w:val="center"/>
        </w:tcPr>
        <w:p w14:paraId="03E3DCCB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5799FBC9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495D4184" w14:textId="77777777"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14:paraId="19A74A55" w14:textId="77777777" w:rsidR="005315EA" w:rsidRPr="00C37A9C" w:rsidRDefault="005315EA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5315EA" w:rsidRPr="007E26B0" w14:paraId="7E1FB1DA" w14:textId="77777777" w:rsidTr="00D622C4">
      <w:trPr>
        <w:trHeight w:val="283"/>
      </w:trPr>
      <w:tc>
        <w:tcPr>
          <w:tcW w:w="2401" w:type="dxa"/>
          <w:vAlign w:val="center"/>
        </w:tcPr>
        <w:p w14:paraId="1A516C6D" w14:textId="77777777" w:rsidR="005315EA" w:rsidRPr="007E26B0" w:rsidRDefault="000609FF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5315EA" w:rsidRPr="007E26B0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14:paraId="40B94CCB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1FC3CE42" w14:textId="77777777"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14:paraId="35CC6A88" w14:textId="77777777" w:rsidR="005315EA" w:rsidRPr="00C37A9C" w:rsidRDefault="005315EA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5315EA" w:rsidRPr="007E26B0" w14:paraId="196B52F5" w14:textId="77777777" w:rsidTr="00D622C4">
      <w:trPr>
        <w:trHeight w:val="283"/>
      </w:trPr>
      <w:tc>
        <w:tcPr>
          <w:tcW w:w="2401" w:type="dxa"/>
          <w:vAlign w:val="center"/>
        </w:tcPr>
        <w:p w14:paraId="20F6FF38" w14:textId="77777777" w:rsidR="005315EA" w:rsidRPr="007E26B0" w:rsidRDefault="005315EA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3EA9C71C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124846C1" w14:textId="77777777"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14:paraId="79CF1BD2" w14:textId="77777777" w:rsidR="005315EA" w:rsidRPr="00C37A9C" w:rsidRDefault="00222DC2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37A9C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0609FF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37A9C">
            <w:rPr>
              <w:rFonts w:cstheme="minorHAnsi"/>
              <w:b/>
              <w:sz w:val="18"/>
              <w:szCs w:val="18"/>
            </w:rPr>
            <w:t xml:space="preserve"> / </w: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37A9C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0609FF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455A4AA9" w14:textId="77777777" w:rsidR="005315EA" w:rsidRDefault="005315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25D9" w14:textId="77777777" w:rsidR="00222DC2" w:rsidRDefault="00222D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21D3E"/>
    <w:multiLevelType w:val="hybridMultilevel"/>
    <w:tmpl w:val="32DA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F5C43"/>
    <w:multiLevelType w:val="hybridMultilevel"/>
    <w:tmpl w:val="815E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A9"/>
    <w:rsid w:val="00050039"/>
    <w:rsid w:val="000609FF"/>
    <w:rsid w:val="001B435C"/>
    <w:rsid w:val="001D410A"/>
    <w:rsid w:val="00204881"/>
    <w:rsid w:val="00222DC2"/>
    <w:rsid w:val="002E65E2"/>
    <w:rsid w:val="00314DFC"/>
    <w:rsid w:val="003A046C"/>
    <w:rsid w:val="003C0CA7"/>
    <w:rsid w:val="003E71D2"/>
    <w:rsid w:val="0043226C"/>
    <w:rsid w:val="004C3526"/>
    <w:rsid w:val="005315EA"/>
    <w:rsid w:val="007E26B0"/>
    <w:rsid w:val="00955F04"/>
    <w:rsid w:val="009B23D9"/>
    <w:rsid w:val="00A13FC5"/>
    <w:rsid w:val="00A31B3C"/>
    <w:rsid w:val="00A55CDF"/>
    <w:rsid w:val="00A80BB7"/>
    <w:rsid w:val="00BB67A9"/>
    <w:rsid w:val="00C24460"/>
    <w:rsid w:val="00C306D9"/>
    <w:rsid w:val="00C37A9C"/>
    <w:rsid w:val="00CC3E0D"/>
    <w:rsid w:val="00D65CB2"/>
    <w:rsid w:val="00E2329B"/>
    <w:rsid w:val="00E8288C"/>
    <w:rsid w:val="00E84C19"/>
    <w:rsid w:val="00F3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B5215"/>
  <w15:docId w15:val="{21A18246-F796-470A-BE89-AA06F873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5C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5EA"/>
  </w:style>
  <w:style w:type="paragraph" w:styleId="AltBilgi">
    <w:name w:val="footer"/>
    <w:basedOn w:val="Normal"/>
    <w:link w:val="AltBilgiChar"/>
    <w:uiPriority w:val="99"/>
    <w:unhideWhenUsed/>
    <w:rsid w:val="0053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5EA"/>
  </w:style>
  <w:style w:type="paragraph" w:styleId="BalonMetni">
    <w:name w:val="Balloon Text"/>
    <w:basedOn w:val="Normal"/>
    <w:link w:val="BalonMetniChar"/>
    <w:uiPriority w:val="99"/>
    <w:semiHidden/>
    <w:unhideWhenUsed/>
    <w:rsid w:val="002E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6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8B4B-4285-4204-8EF5-467F3EFF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Safa Mert Yavuz</cp:lastModifiedBy>
  <cp:revision>3</cp:revision>
  <dcterms:created xsi:type="dcterms:W3CDTF">2022-03-12T10:13:00Z</dcterms:created>
  <dcterms:modified xsi:type="dcterms:W3CDTF">2022-03-18T12:20:00Z</dcterms:modified>
</cp:coreProperties>
</file>