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150"/>
      </w:tblGrid>
      <w:tr w:rsidR="001E44D8" w:rsidRPr="008A0844" w:rsidTr="00B64B1B">
        <w:trPr>
          <w:trHeight w:val="283"/>
        </w:trPr>
        <w:tc>
          <w:tcPr>
            <w:tcW w:w="2400" w:type="dxa"/>
            <w:vAlign w:val="center"/>
          </w:tcPr>
          <w:p w:rsidR="001E44D8" w:rsidRPr="008A0844" w:rsidRDefault="001E44D8" w:rsidP="009011F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1E44D8" w:rsidRPr="008A0844" w:rsidRDefault="001E44D8" w:rsidP="009011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A0844">
              <w:rPr>
                <w:rFonts w:cstheme="minorHAnsi"/>
                <w:sz w:val="20"/>
                <w:szCs w:val="20"/>
              </w:rPr>
              <w:t>Avukat</w:t>
            </w:r>
          </w:p>
        </w:tc>
      </w:tr>
      <w:tr w:rsidR="001E44D8" w:rsidRPr="008A0844" w:rsidTr="00B64B1B">
        <w:trPr>
          <w:trHeight w:val="283"/>
        </w:trPr>
        <w:tc>
          <w:tcPr>
            <w:tcW w:w="2400" w:type="dxa"/>
            <w:vAlign w:val="center"/>
          </w:tcPr>
          <w:p w:rsidR="001E44D8" w:rsidRPr="008A0844" w:rsidRDefault="001E44D8" w:rsidP="009011F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1E44D8" w:rsidRPr="008A0844" w:rsidRDefault="001E44D8" w:rsidP="009011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47C75">
              <w:rPr>
                <w:rFonts w:cstheme="minorHAnsi"/>
                <w:sz w:val="20"/>
                <w:szCs w:val="20"/>
              </w:rPr>
              <w:t>Hukuk Müşaviri</w:t>
            </w:r>
          </w:p>
        </w:tc>
      </w:tr>
      <w:tr w:rsidR="001E44D8" w:rsidRPr="008A0844" w:rsidTr="00B64B1B">
        <w:trPr>
          <w:trHeight w:val="10350"/>
        </w:trPr>
        <w:tc>
          <w:tcPr>
            <w:tcW w:w="9550" w:type="dxa"/>
            <w:gridSpan w:val="2"/>
          </w:tcPr>
          <w:p w:rsidR="001E44D8" w:rsidRPr="008A0844" w:rsidRDefault="001E44D8" w:rsidP="00A0474B">
            <w:pPr>
              <w:rPr>
                <w:rFonts w:cstheme="minorHAnsi"/>
                <w:sz w:val="20"/>
                <w:szCs w:val="20"/>
              </w:rPr>
            </w:pPr>
          </w:p>
          <w:p w:rsidR="001E44D8" w:rsidRPr="008A0844" w:rsidRDefault="001E44D8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8A0844">
              <w:rPr>
                <w:rFonts w:cstheme="minorHAnsi"/>
                <w:b/>
                <w:sz w:val="20"/>
                <w:szCs w:val="20"/>
              </w:rPr>
              <w:tab/>
            </w:r>
          </w:p>
          <w:p w:rsidR="001E44D8" w:rsidRPr="008A0844" w:rsidRDefault="00890E9F" w:rsidP="00A0474B">
            <w:pPr>
              <w:rPr>
                <w:rFonts w:cstheme="minorHAnsi"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8A0844">
              <w:rPr>
                <w:rFonts w:cstheme="minorHAnsi"/>
                <w:sz w:val="20"/>
                <w:szCs w:val="20"/>
              </w:rPr>
              <w:t xml:space="preserve"> </w:t>
            </w:r>
            <w:r w:rsidR="001E44D8" w:rsidRPr="008A0844">
              <w:rPr>
                <w:rFonts w:cstheme="minorHAnsi"/>
                <w:sz w:val="20"/>
                <w:szCs w:val="20"/>
              </w:rPr>
              <w:t xml:space="preserve">Adli ve idari yargıda, icra mercileri ve hakemler nezdinde vekil sıfatıyla üniversiteyi temsil etmek, hukuki ihtilafları önleyici tedbirler almak </w:t>
            </w:r>
          </w:p>
          <w:p w:rsidR="001E44D8" w:rsidRPr="008A0844" w:rsidRDefault="001E44D8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1E44D8" w:rsidRPr="008A0844" w:rsidRDefault="001E44D8" w:rsidP="00A0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color w:val="000000"/>
                <w:sz w:val="20"/>
                <w:szCs w:val="20"/>
              </w:rPr>
              <w:t>Kurum leh ve aleyhindeki her çeşit davalar ile icra takiplerine, hak ve imtiyazlara, resim ve harçlara ilişkin bütün hukuki işlemleri yürütmek,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color w:val="000000"/>
                <w:sz w:val="20"/>
                <w:szCs w:val="20"/>
              </w:rPr>
              <w:t>Adli ve idari yargı mercilerinden ve noterden kuruma yapılacak tebliğlere cevap hazırlamak veya hukuki gereklerini yapmak,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color w:val="000000"/>
                <w:sz w:val="20"/>
                <w:szCs w:val="20"/>
              </w:rPr>
              <w:t xml:space="preserve">Kanun, tüzük, yönetmelik ve ilgili diğer mevzuatı incelemek ve değişiklikleri takip etmek, 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color w:val="000000"/>
                <w:sz w:val="20"/>
                <w:szCs w:val="20"/>
              </w:rPr>
              <w:t xml:space="preserve">Hukuk Müşaviri tarafından kendilerine tevdi edilen dava, icra takibi ile diğer takip ve işlerle ilgili hukuki işlem ve idari muameleleri yapmak, 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color w:val="000000"/>
                <w:sz w:val="20"/>
                <w:szCs w:val="20"/>
              </w:rPr>
              <w:t>Hukuk Müşavirliğinden görüş istenilen hususlarda mütalaa hazırlamak,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color w:val="000000"/>
                <w:sz w:val="20"/>
                <w:szCs w:val="20"/>
              </w:rPr>
              <w:t>Hukuk Müşavirliğinden bir temsilcinin de hazır bulunması istenilen toplantılara müşavirlik adına katılmak ve hukuki görüş bildirmek,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color w:val="000000"/>
                <w:sz w:val="20"/>
                <w:szCs w:val="20"/>
              </w:rPr>
              <w:t xml:space="preserve">Kurum personeli hakkında düzenlenen ve Rektörlükçe görüş talebi ile havale olunan soruşturma dosya ve raporlarını incelemek, 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color w:val="000000"/>
                <w:sz w:val="20"/>
                <w:szCs w:val="20"/>
              </w:rPr>
              <w:t>Görev alanı ile ilgili diğer mevzuat hükümlerini yerine getirmek</w:t>
            </w:r>
          </w:p>
          <w:p w:rsidR="001E44D8" w:rsidRPr="008A0844" w:rsidRDefault="001E44D8" w:rsidP="001E44D8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8A0844">
              <w:rPr>
                <w:rFonts w:cstheme="minorHAnsi"/>
                <w:sz w:val="20"/>
                <w:szCs w:val="20"/>
              </w:rPr>
              <w:t>Hukuk Müşaviri tarafından kendisine verilen diğer görevleri yapmak</w:t>
            </w:r>
          </w:p>
          <w:p w:rsidR="001E44D8" w:rsidRPr="008A0844" w:rsidRDefault="001E44D8" w:rsidP="00A0474B">
            <w:pPr>
              <w:ind w:left="72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</w:p>
          <w:p w:rsidR="001E44D8" w:rsidRDefault="001E44D8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D134C1" w:rsidRPr="008A0844" w:rsidRDefault="00D134C1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E44D8" w:rsidRPr="008A0844" w:rsidRDefault="001E44D8" w:rsidP="001E44D8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A0844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1E44D8" w:rsidRPr="008A0844" w:rsidRDefault="001E44D8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E44D8" w:rsidRDefault="001E44D8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D134C1" w:rsidRPr="008A0844" w:rsidRDefault="00D134C1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E44D8" w:rsidRPr="008A0844" w:rsidRDefault="001E44D8" w:rsidP="001E44D8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A0844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1E44D8" w:rsidRPr="008A0844" w:rsidRDefault="001E44D8" w:rsidP="00A0474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1E44D8" w:rsidRPr="008A0844" w:rsidRDefault="001E44D8" w:rsidP="00A047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1E44D8" w:rsidRPr="008A0844" w:rsidRDefault="001E44D8" w:rsidP="00A047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C07BC0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C0" w:rsidRDefault="00C07BC0" w:rsidP="00FE3219">
      <w:pPr>
        <w:spacing w:after="0" w:line="240" w:lineRule="auto"/>
      </w:pPr>
      <w:r>
        <w:separator/>
      </w:r>
    </w:p>
  </w:endnote>
  <w:endnote w:type="continuationSeparator" w:id="0">
    <w:p w:rsidR="00C07BC0" w:rsidRDefault="00C07BC0" w:rsidP="00FE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2A" w:rsidRDefault="004859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2A" w:rsidRDefault="004859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2A" w:rsidRDefault="004859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C0" w:rsidRDefault="00C07BC0" w:rsidP="00FE3219">
      <w:pPr>
        <w:spacing w:after="0" w:line="240" w:lineRule="auto"/>
      </w:pPr>
      <w:r>
        <w:separator/>
      </w:r>
    </w:p>
  </w:footnote>
  <w:footnote w:type="continuationSeparator" w:id="0">
    <w:p w:rsidR="00C07BC0" w:rsidRDefault="00C07BC0" w:rsidP="00FE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2A" w:rsidRDefault="004859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9606" w:type="dxa"/>
      <w:tblLook w:val="04A0" w:firstRow="1" w:lastRow="0" w:firstColumn="1" w:lastColumn="0" w:noHBand="0" w:noVBand="1"/>
    </w:tblPr>
    <w:tblGrid>
      <w:gridCol w:w="2557"/>
      <w:gridCol w:w="3423"/>
      <w:gridCol w:w="2083"/>
      <w:gridCol w:w="1543"/>
    </w:tblGrid>
    <w:tr w:rsidR="00FE3219" w:rsidRPr="008A0844" w:rsidTr="00AF2B68">
      <w:trPr>
        <w:trHeight w:val="282"/>
      </w:trPr>
      <w:tc>
        <w:tcPr>
          <w:tcW w:w="2401" w:type="dxa"/>
          <w:vMerge w:val="restart"/>
          <w:vAlign w:val="center"/>
        </w:tcPr>
        <w:p w:rsidR="00FE3219" w:rsidRPr="00A42704" w:rsidRDefault="00A42704" w:rsidP="00FE3219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00297B" wp14:editId="7E440B94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E3219" w:rsidRPr="008A0844" w:rsidRDefault="00CC1549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AVUKAT</w:t>
          </w:r>
        </w:p>
      </w:tc>
      <w:tc>
        <w:tcPr>
          <w:tcW w:w="2126" w:type="dxa"/>
          <w:vAlign w:val="center"/>
        </w:tcPr>
        <w:p w:rsidR="00FE3219" w:rsidRPr="008A0844" w:rsidRDefault="00FE3219" w:rsidP="00FE3219">
          <w:pPr>
            <w:rPr>
              <w:rFonts w:cstheme="minorHAnsi"/>
              <w:b/>
              <w:sz w:val="20"/>
              <w:szCs w:val="20"/>
            </w:rPr>
          </w:pPr>
          <w:r w:rsidRPr="008A0844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FE3219" w:rsidRPr="00F33898" w:rsidRDefault="00CC1549" w:rsidP="0085150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F33898">
            <w:rPr>
              <w:rFonts w:cstheme="minorHAnsi"/>
              <w:b/>
              <w:sz w:val="20"/>
              <w:szCs w:val="20"/>
            </w:rPr>
            <w:t>KYS-GRV-022</w:t>
          </w:r>
        </w:p>
      </w:tc>
    </w:tr>
    <w:tr w:rsidR="00FE3219" w:rsidRPr="008A0844" w:rsidTr="00AF2B68">
      <w:trPr>
        <w:trHeight w:val="283"/>
      </w:trPr>
      <w:tc>
        <w:tcPr>
          <w:tcW w:w="2401" w:type="dxa"/>
          <w:vMerge/>
          <w:vAlign w:val="center"/>
        </w:tcPr>
        <w:p w:rsidR="00FE3219" w:rsidRPr="008A0844" w:rsidRDefault="00FE3219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E3219" w:rsidRPr="008A0844" w:rsidRDefault="00FE3219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E3219" w:rsidRPr="008A0844" w:rsidRDefault="00FE3219" w:rsidP="00FE3219">
          <w:pPr>
            <w:rPr>
              <w:rFonts w:cstheme="minorHAnsi"/>
              <w:b/>
              <w:sz w:val="20"/>
              <w:szCs w:val="20"/>
            </w:rPr>
          </w:pPr>
          <w:r w:rsidRPr="008A0844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FE3219" w:rsidRPr="00F33898" w:rsidRDefault="00A42704" w:rsidP="0085150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FE3219" w:rsidRPr="008A0844" w:rsidTr="00AF2B68">
      <w:trPr>
        <w:trHeight w:val="283"/>
      </w:trPr>
      <w:tc>
        <w:tcPr>
          <w:tcW w:w="2401" w:type="dxa"/>
          <w:vMerge/>
          <w:vAlign w:val="center"/>
        </w:tcPr>
        <w:p w:rsidR="00FE3219" w:rsidRPr="008A0844" w:rsidRDefault="00FE3219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E3219" w:rsidRPr="008A0844" w:rsidRDefault="00FE3219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E3219" w:rsidRPr="008A0844" w:rsidRDefault="00FE3219" w:rsidP="00FE3219">
          <w:pPr>
            <w:rPr>
              <w:rFonts w:cstheme="minorHAnsi"/>
              <w:b/>
              <w:sz w:val="20"/>
              <w:szCs w:val="20"/>
            </w:rPr>
          </w:pPr>
          <w:r w:rsidRPr="008A0844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FE3219" w:rsidRPr="00F33898" w:rsidRDefault="00FE3219" w:rsidP="008515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E3219" w:rsidRPr="008A0844" w:rsidTr="00AF2B68">
      <w:trPr>
        <w:trHeight w:val="283"/>
      </w:trPr>
      <w:tc>
        <w:tcPr>
          <w:tcW w:w="2401" w:type="dxa"/>
          <w:vAlign w:val="center"/>
        </w:tcPr>
        <w:p w:rsidR="00FE3219" w:rsidRPr="008A0844" w:rsidRDefault="00A42704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E3219" w:rsidRPr="008A0844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FE3219" w:rsidRPr="008A0844" w:rsidRDefault="00FE3219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E3219" w:rsidRPr="008A0844" w:rsidRDefault="00FE3219" w:rsidP="00FE3219">
          <w:pPr>
            <w:rPr>
              <w:rFonts w:cstheme="minorHAnsi"/>
              <w:b/>
              <w:sz w:val="20"/>
              <w:szCs w:val="20"/>
            </w:rPr>
          </w:pPr>
          <w:r w:rsidRPr="008A0844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FE3219" w:rsidRPr="00F33898" w:rsidRDefault="00FE3219" w:rsidP="0085150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E3219" w:rsidRPr="008A0844" w:rsidTr="00AF2B68">
      <w:trPr>
        <w:trHeight w:val="283"/>
      </w:trPr>
      <w:tc>
        <w:tcPr>
          <w:tcW w:w="2401" w:type="dxa"/>
          <w:vAlign w:val="center"/>
        </w:tcPr>
        <w:p w:rsidR="00FE3219" w:rsidRPr="008A0844" w:rsidRDefault="00FE3219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E3219" w:rsidRPr="008A0844" w:rsidRDefault="00FE3219" w:rsidP="00FE321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E3219" w:rsidRPr="008A0844" w:rsidRDefault="00FE3219" w:rsidP="00FE3219">
          <w:pPr>
            <w:rPr>
              <w:rFonts w:cstheme="minorHAnsi"/>
              <w:b/>
              <w:sz w:val="20"/>
              <w:szCs w:val="20"/>
            </w:rPr>
          </w:pPr>
          <w:r w:rsidRPr="008A0844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FE3219" w:rsidRPr="00F33898" w:rsidRDefault="00CC1549" w:rsidP="0085150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F3389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F33898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F3389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A42704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F3389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F33898">
            <w:rPr>
              <w:rFonts w:cstheme="minorHAnsi"/>
              <w:b/>
              <w:sz w:val="18"/>
              <w:szCs w:val="18"/>
            </w:rPr>
            <w:t xml:space="preserve"> / </w:t>
          </w:r>
          <w:r w:rsidRPr="00F3389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F33898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F3389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A42704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F33898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FE3219" w:rsidRDefault="00FE32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2A" w:rsidRDefault="004859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1F10"/>
    <w:multiLevelType w:val="hybridMultilevel"/>
    <w:tmpl w:val="CC1278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552FE"/>
    <w:multiLevelType w:val="hybridMultilevel"/>
    <w:tmpl w:val="1E1EE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37C1E"/>
    <w:multiLevelType w:val="hybridMultilevel"/>
    <w:tmpl w:val="D76A9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A2"/>
    <w:rsid w:val="00152C07"/>
    <w:rsid w:val="001D410A"/>
    <w:rsid w:val="001E44D8"/>
    <w:rsid w:val="00224C2F"/>
    <w:rsid w:val="002D75DB"/>
    <w:rsid w:val="00342790"/>
    <w:rsid w:val="003C0CA7"/>
    <w:rsid w:val="004050F3"/>
    <w:rsid w:val="0048592A"/>
    <w:rsid w:val="0056111A"/>
    <w:rsid w:val="005B39A2"/>
    <w:rsid w:val="00683AD5"/>
    <w:rsid w:val="006D6146"/>
    <w:rsid w:val="00726175"/>
    <w:rsid w:val="00851505"/>
    <w:rsid w:val="00890E9F"/>
    <w:rsid w:val="008B3051"/>
    <w:rsid w:val="008E0B2B"/>
    <w:rsid w:val="009011F2"/>
    <w:rsid w:val="00A42704"/>
    <w:rsid w:val="00A47C75"/>
    <w:rsid w:val="00B64B1B"/>
    <w:rsid w:val="00BA00C2"/>
    <w:rsid w:val="00BA5DEE"/>
    <w:rsid w:val="00C07BC0"/>
    <w:rsid w:val="00CC1549"/>
    <w:rsid w:val="00D134C1"/>
    <w:rsid w:val="00DB55B9"/>
    <w:rsid w:val="00DC1EAB"/>
    <w:rsid w:val="00ED1C61"/>
    <w:rsid w:val="00F33898"/>
    <w:rsid w:val="00FB05FC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ACDF"/>
  <w15:docId w15:val="{0F896C21-D9D8-4595-8AE5-678B56A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4D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1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3219"/>
  </w:style>
  <w:style w:type="paragraph" w:styleId="AltBilgi">
    <w:name w:val="footer"/>
    <w:basedOn w:val="Normal"/>
    <w:link w:val="AltBilgiChar"/>
    <w:uiPriority w:val="99"/>
    <w:unhideWhenUsed/>
    <w:rsid w:val="00FE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3219"/>
  </w:style>
  <w:style w:type="paragraph" w:styleId="BalonMetni">
    <w:name w:val="Balloon Text"/>
    <w:basedOn w:val="Normal"/>
    <w:link w:val="BalonMetniChar"/>
    <w:uiPriority w:val="99"/>
    <w:semiHidden/>
    <w:unhideWhenUsed/>
    <w:rsid w:val="0090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Semih Dikmen</cp:lastModifiedBy>
  <cp:revision>2</cp:revision>
  <dcterms:created xsi:type="dcterms:W3CDTF">2022-03-12T10:14:00Z</dcterms:created>
  <dcterms:modified xsi:type="dcterms:W3CDTF">2022-03-12T10:14:00Z</dcterms:modified>
</cp:coreProperties>
</file>